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jc w:val="center"/>
        <w:spacing w:before="120" w:beforeAutospacing="0" w:after="120" w:afterAutospacing="0" w:line="360" w:lineRule="auto"/>
        <w:rPr>
          <w:rFonts w:ascii="Arial" w:hAnsi="Arial" w:cs="Arial"/>
          <w:b/>
          <w:color w:val="auto"/>
          <w:sz w:val="84"/>
          <w:szCs w:val="84"/>
          <w:highlight w:val="none"/>
        </w:rPr>
      </w:pPr>
      <w:r>
        <w:rPr>
          <w:color w:val="auto"/>
          <w:highlight w:val="none"/>
        </w:rPr>
        <w:t xml:space="preserve"> </w:t>
      </w:r>
      <w:r/>
    </w:p>
    <w:p>
      <w:pPr>
        <w:pStyle w:val="921"/>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招 标 文 件</w:t>
      </w:r>
      <w:r/>
    </w:p>
    <w:p>
      <w:pPr>
        <w:pStyle w:val="921"/>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921"/>
        <w:jc w:val="center"/>
        <w:spacing w:before="120" w:beforeAutospacing="0" w:after="120" w:afterAutospacing="0" w:line="360" w:lineRule="auto"/>
        <w:rPr>
          <w:rFonts w:hint="eastAsia" w:asciiTheme="minorEastAsia" w:hAnsiTheme="minorEastAsia" w:eastAsiaTheme="minorEastAsia" w:cstheme="minorEastAsia"/>
          <w:b/>
          <w:color w:val="auto"/>
          <w:sz w:val="24"/>
          <w:szCs w:val="24"/>
          <w:highlight w:val="none"/>
          <w:lang w:val="en-US" w:eastAsia="zh-CN"/>
        </w:rPr>
      </w:pPr>
      <w:r>
        <w:rPr>
          <w:rFonts w:ascii="Arial" w:hAnsi="Arial" w:cs="Arial"/>
          <w:b/>
          <w:color w:val="auto"/>
          <w:sz w:val="32"/>
          <w:szCs w:val="32"/>
          <w:highlight w:val="none"/>
        </w:rPr>
        <w:t xml:space="preserve">项目名称：</w:t>
      </w:r>
      <w:r>
        <w:rPr>
          <w:rFonts w:hint="eastAsia" w:asciiTheme="minorEastAsia" w:hAnsiTheme="minorEastAsia" w:eastAsiaTheme="minorEastAsia" w:cstheme="minorEastAsia"/>
          <w:b/>
          <w:color w:val="auto"/>
          <w:sz w:val="24"/>
          <w:szCs w:val="24"/>
          <w:highlight w:val="none"/>
          <w:lang w:val="en-US" w:eastAsia="zh-CN"/>
        </w:rPr>
        <w:t xml:space="preserve">盐城市第三人民医院二期附属大数据机房及肝脏健康大数据</w:t>
      </w:r>
      <w:r/>
    </w:p>
    <w:p>
      <w:pPr>
        <w:pStyle w:val="921"/>
        <w:ind w:firstLine="1928"/>
        <w:jc w:val="both"/>
        <w:spacing w:before="120" w:beforeAutospacing="0" w:after="120" w:afterAutospacing="0" w:line="360" w:lineRule="auto"/>
        <w:rPr>
          <w:color w:val="auto"/>
          <w:highlight w:val="none"/>
        </w:rPr>
      </w:pPr>
      <w:r>
        <w:rPr>
          <w:rFonts w:hint="eastAsia" w:asciiTheme="minorEastAsia" w:hAnsiTheme="minorEastAsia" w:eastAsiaTheme="minorEastAsia" w:cstheme="minorEastAsia"/>
          <w:b/>
          <w:color w:val="auto"/>
          <w:sz w:val="24"/>
          <w:szCs w:val="24"/>
          <w:highlight w:val="none"/>
          <w:lang w:val="en-US" w:eastAsia="zh-CN"/>
        </w:rPr>
        <w:t xml:space="preserve">数智底座建设项目</w:t>
      </w:r>
      <w:r/>
    </w:p>
    <w:p>
      <w:pPr>
        <w:pStyle w:val="921"/>
        <w:ind w:firstLine="321"/>
        <w:jc w:val="both"/>
        <w:spacing w:before="120" w:beforeAutospacing="0" w:after="120" w:afterAutospacing="0" w:line="360" w:lineRule="auto"/>
        <w:rPr>
          <w:color w:val="auto"/>
          <w:sz w:val="24"/>
          <w:szCs w:val="24"/>
          <w:highlight w:val="none"/>
        </w:rPr>
      </w:pPr>
      <w:r>
        <w:rPr>
          <w:rFonts w:ascii="Arial" w:hAnsi="Arial" w:cs="Arial"/>
          <w:b/>
          <w:color w:val="auto"/>
          <w:sz w:val="32"/>
          <w:szCs w:val="32"/>
          <w:highlight w:val="none"/>
        </w:rPr>
        <w:t xml:space="preserve">项目编号：</w:t>
      </w:r>
      <w:r>
        <w:rPr>
          <w:rFonts w:hint="eastAsia" w:asciiTheme="minorEastAsia" w:hAnsiTheme="minorEastAsia" w:eastAsiaTheme="minorEastAsia" w:cstheme="minorEastAsia"/>
          <w:b/>
          <w:color w:val="auto"/>
          <w:sz w:val="24"/>
          <w:szCs w:val="24"/>
          <w:highlight w:val="none"/>
          <w:lang w:val="en-US" w:eastAsia="zh-CN"/>
        </w:rPr>
        <w:t xml:space="preserve">JSZC-320903-JZCG-G2026-</w:t>
      </w:r>
      <w:r>
        <w:rPr>
          <w:rFonts w:hint="eastAsia" w:asciiTheme="minorEastAsia" w:hAnsiTheme="minorEastAsia" w:cstheme="minorEastAsia"/>
          <w:b/>
          <w:color w:val="auto"/>
          <w:sz w:val="24"/>
          <w:szCs w:val="24"/>
          <w:highlight w:val="none"/>
          <w:lang w:val="en-US" w:eastAsia="zh-CN"/>
        </w:rPr>
        <w:t xml:space="preserve">0030</w:t>
      </w:r>
      <w:r>
        <w:rPr>
          <w:rFonts w:hint="eastAsia" w:asciiTheme="minorEastAsia" w:hAnsiTheme="minorEastAsia" w:eastAsiaTheme="minorEastAsia" w:cstheme="minorEastAsia"/>
          <w:b/>
          <w:color w:val="auto"/>
          <w:sz w:val="24"/>
          <w:szCs w:val="24"/>
          <w:highlight w:val="none"/>
          <w:lang w:val="en-US" w:eastAsia="zh-CN"/>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spacing w:beforeAutospacing="0" w:afterAutospacing="0" w:line="360" w:lineRule="auto"/>
        <w:rPr>
          <w:color w:val="auto"/>
          <w:highlight w:val="none"/>
        </w:rPr>
      </w:pPr>
      <w:r>
        <w:rPr>
          <w:color w:val="auto"/>
          <w:highlight w:val="none"/>
        </w:rPr>
        <w:t xml:space="preserve"> </w:t>
      </w:r>
      <w:r/>
    </w:p>
    <w:p>
      <w:pPr>
        <w:pStyle w:val="921"/>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eastAsia="zh-CN"/>
        </w:rPr>
        <w:t xml:space="preserve">盐城</w:t>
      </w:r>
      <w:r>
        <w:rPr>
          <w:rFonts w:hint="eastAsia" w:ascii="Arial" w:hAnsi="Arial" w:cs="Arial"/>
          <w:b/>
          <w:color w:val="auto"/>
          <w:sz w:val="32"/>
          <w:szCs w:val="32"/>
          <w:highlight w:val="none"/>
          <w:lang w:val="en-US" w:eastAsia="zh-CN"/>
        </w:rPr>
        <w:t xml:space="preserve">市第三人民医院</w:t>
      </w:r>
      <w:r/>
    </w:p>
    <w:p>
      <w:pPr>
        <w:pStyle w:val="921"/>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7</w:t>
      </w:r>
      <w:r>
        <w:rPr>
          <w:rFonts w:ascii="Arial" w:hAnsi="Arial" w:cs="Arial"/>
          <w:b/>
          <w:color w:val="auto"/>
          <w:sz w:val="32"/>
          <w:szCs w:val="32"/>
          <w:highlight w:val="none"/>
        </w:rPr>
        <w:t xml:space="preserve">月</w:t>
      </w:r>
      <w:r/>
    </w:p>
    <w:p>
      <w:pPr>
        <w:pStyle w:val="921"/>
        <w:jc w:val="center"/>
        <w:spacing w:before="120" w:beforeAutospacing="0" w:after="120" w:afterAutospacing="0" w:line="360" w:lineRule="auto"/>
        <w:rPr>
          <w:rFonts w:ascii="黑体" w:hAnsi="宋体" w:eastAsia="黑体" w:cs="黑体"/>
          <w:b/>
          <w:color w:val="auto"/>
          <w:sz w:val="44"/>
          <w:szCs w:val="44"/>
          <w:highlight w:val="none"/>
        </w:rPr>
      </w:pPr>
      <w:r/>
      <w:bookmarkStart w:id="0" w:name="_Toc479757206"/>
      <w:r/>
      <w:bookmarkStart w:id="1" w:name="_Toc523127445"/>
      <w:r/>
      <w:bookmarkStart w:id="2" w:name="_Toc16938516"/>
      <w:r/>
      <w:bookmarkStart w:id="3" w:name="_Toc120614210"/>
      <w:r/>
      <w:bookmarkStart w:id="4" w:name="_Toc20823272"/>
      <w:r/>
      <w:bookmarkStart w:id="5" w:name="_Toc513029200"/>
      <w:r/>
      <w:r/>
    </w:p>
    <w:p>
      <w:pPr>
        <w:rPr>
          <w:rFonts w:ascii="黑体" w:hAnsi="宋体" w:eastAsia="黑体" w:cs="黑体"/>
          <w:b/>
          <w:color w:val="auto"/>
          <w:sz w:val="44"/>
          <w:szCs w:val="44"/>
          <w:highlight w:val="none"/>
        </w:rPr>
      </w:pPr>
      <w:r>
        <w:rPr>
          <w:rFonts w:ascii="黑体" w:hAnsi="宋体" w:eastAsia="黑体" w:cs="黑体"/>
          <w:b/>
          <w:color w:val="auto"/>
          <w:sz w:val="44"/>
          <w:szCs w:val="44"/>
          <w:highlight w:val="none"/>
        </w:rPr>
        <w:br w:type="page" w:clear="all"/>
      </w:r>
      <w:r/>
    </w:p>
    <w:p>
      <w:pPr>
        <w:pStyle w:val="921"/>
        <w:jc w:val="center"/>
        <w:spacing w:before="120" w:beforeAutospacing="0" w:after="120" w:afterAutospacing="0" w:line="36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921"/>
        <w:jc w:val="both"/>
        <w:spacing w:beforeAutospacing="0" w:afterAutospacing="0" w:line="480" w:lineRule="auto"/>
        <w:rPr>
          <w:color w:val="auto"/>
          <w:highlight w:val="none"/>
        </w:rPr>
      </w:pPr>
      <w:r>
        <w:rPr>
          <w:color w:val="auto"/>
          <w:highlight w:val="none"/>
        </w:rPr>
        <w:t xml:space="preserve"> </w:t>
      </w:r>
      <w:r/>
    </w:p>
    <w:p>
      <w:pPr>
        <w:pStyle w:val="92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rPr>
          <w:rFonts w:hint="eastAsia" w:ascii="黑体" w:hAnsi="宋体" w:eastAsia="黑体" w:cs="黑体"/>
          <w:color w:val="auto"/>
          <w:sz w:val="36"/>
          <w:szCs w:val="36"/>
          <w:highlight w:val="none"/>
        </w:rPr>
        <w:t xml:space="preserve"> </w:t>
      </w:r>
      <w:r/>
    </w:p>
    <w:p>
      <w:pPr>
        <w:pStyle w:val="92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7</w:t>
      </w:r>
      <w:r>
        <w:rPr>
          <w:rFonts w:hint="eastAsia" w:ascii="黑体" w:hAnsi="宋体" w:eastAsia="黑体" w:cs="黑体"/>
          <w:color w:val="auto"/>
          <w:sz w:val="36"/>
          <w:szCs w:val="36"/>
          <w:highlight w:val="none"/>
        </w:rPr>
        <w:t xml:space="preserve"> </w:t>
      </w:r>
      <w:r/>
    </w:p>
    <w:p>
      <w:pPr>
        <w:pStyle w:val="92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26</w:t>
      </w:r>
      <w:r/>
    </w:p>
    <w:p>
      <w:pPr>
        <w:pStyle w:val="92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51</w:t>
      </w:r>
      <w:r/>
    </w:p>
    <w:p>
      <w:pPr>
        <w:pStyle w:val="92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119</w:t>
      </w:r>
      <w:r/>
    </w:p>
    <w:p>
      <w:pPr>
        <w:pStyle w:val="921"/>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126</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center"/>
        <w:keepNext/>
        <w:spacing w:beforeAutospacing="0" w:afterAutospacing="0"/>
        <w:rPr>
          <w:rFonts w:hint="default" w:eastAsia="黑体"/>
          <w:color w:val="auto"/>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盐城市第三人民医院二期附属大数据机房及肝脏健康大数据数智底座建设项目</w:t>
      </w:r>
      <w:r>
        <w:rPr>
          <w:rFonts w:hint="eastAsia" w:ascii="宋体" w:hAnsi="宋体" w:eastAsia="宋体" w:cs="宋体"/>
          <w:color w:val="auto"/>
          <w:sz w:val="24"/>
          <w:szCs w:val="24"/>
          <w:highlight w:val="none"/>
          <w:u w:val="single"/>
          <w:lang w:eastAsia="zh-CN"/>
        </w:rPr>
        <w:t xml:space="preserve">JSZC-320903-JZCG-G202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0030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年08月07日09点30分（</w:t>
      </w:r>
      <w:r>
        <w:rPr>
          <w:rFonts w:hint="eastAsia" w:ascii="宋体" w:hAnsi="宋体" w:eastAsia="宋体" w:cs="宋体"/>
          <w:color w:val="auto"/>
          <w:sz w:val="24"/>
          <w:szCs w:val="24"/>
          <w:highlight w:val="none"/>
        </w:rPr>
        <w:t xml:space="preserve">北京时间）前递交投标文件。</w:t>
      </w:r>
      <w:r/>
    </w:p>
    <w:p>
      <w:pPr>
        <w:pStyle w:val="921"/>
        <w:ind w:firstLine="498"/>
        <w:jc w:val="both"/>
        <w:keepLines/>
        <w:keepNext/>
        <w:pageBreakBefore w:val="0"/>
        <w:spacing w:before="145" w:beforeAutospacing="0" w:after="145" w:afterAutospacing="0" w:line="520" w:lineRule="exact"/>
        <w:rPr>
          <w:rFonts w:hint="eastAsia" w:ascii="宋体" w:hAnsi="宋体" w:eastAsia="宋体" w:cs="宋体"/>
          <w:color w:val="auto"/>
          <w:sz w:val="24"/>
          <w:szCs w:val="24"/>
          <w:highlight w:val="none"/>
        </w:rPr>
      </w:pPr>
      <w:r/>
      <w:bookmarkStart w:id="7" w:name="_Hlk24379207"/>
      <w:r/>
      <w:bookmarkStart w:id="8" w:name="_Toc35393621"/>
      <w:r/>
      <w:bookmarkStart w:id="9" w:name="_Toc38985263"/>
      <w:r/>
      <w:bookmarkStart w:id="10" w:name="_Toc28359079"/>
      <w:r/>
      <w:bookmarkStart w:id="11" w:name="_Toc28359002"/>
      <w:r/>
      <w:bookmarkStart w:id="12" w:name="_Toc35393790"/>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921"/>
        <w:ind w:firstLine="480"/>
        <w:jc w:val="both"/>
        <w:pageBreakBefore w:val="0"/>
        <w:spacing w:beforeAutospacing="0" w:afterAutospacing="0" w:line="520" w:lineRule="exact"/>
        <w:rPr>
          <w:rFonts w:hint="default" w:ascii="宋体" w:hAnsi="宋体" w:eastAsia="宋体" w:cs="宋体"/>
          <w:i w:val="0"/>
          <w:iCs w:val="0"/>
          <w:caps w:val="0"/>
          <w:color w:val="auto"/>
          <w:spacing w:val="0"/>
          <w:sz w:val="24"/>
          <w:szCs w:val="24"/>
          <w:highlight w:val="none"/>
          <w:shd w:val="clear" w:color="auto" w:fill="ffffff"/>
          <w:lang w:val="en-US"/>
        </w:rPr>
      </w:pPr>
      <w:r>
        <w:rPr>
          <w:rFonts w:hint="eastAsia" w:ascii="宋体" w:hAnsi="宋体" w:eastAsia="宋体" w:cs="宋体"/>
          <w:i w:val="0"/>
          <w:iCs w:val="0"/>
          <w:caps w:val="0"/>
          <w:color w:val="auto"/>
          <w:spacing w:val="0"/>
          <w:sz w:val="24"/>
          <w:szCs w:val="24"/>
          <w:highlight w:val="none"/>
          <w:shd w:val="clear" w:color="auto" w:fill="ffffff"/>
        </w:rPr>
        <w:t xml:space="preserve">1.项目编号：</w:t>
      </w:r>
      <w:r>
        <w:rPr>
          <w:rFonts w:hint="eastAsia" w:ascii="宋体" w:hAnsi="宋体" w:eastAsia="宋体" w:cs="宋体"/>
          <w:i w:val="0"/>
          <w:iCs w:val="0"/>
          <w:caps w:val="0"/>
          <w:color w:val="auto"/>
          <w:spacing w:val="0"/>
          <w:sz w:val="24"/>
          <w:szCs w:val="24"/>
          <w:highlight w:val="none"/>
          <w:shd w:val="clear" w:color="auto" w:fill="ffffff"/>
          <w:lang w:eastAsia="zh-CN"/>
        </w:rPr>
        <w:t xml:space="preserve">JSZC-320903-JZCG-G202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0030</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val="en-US" w:eastAsia="zh-CN"/>
        </w:rPr>
        <w:t xml:space="preserve">盐城市第三人民医院二期附属大数据机房及肝脏健康大数据数智底座建设项目</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17751700.00元</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17751700.00元</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w:t>
      </w:r>
      <w:r>
        <w:rPr>
          <w:rFonts w:hint="eastAsia" w:ascii="宋体" w:hAnsi="宋体" w:eastAsia="宋体" w:cs="宋体"/>
          <w:color w:val="auto"/>
          <w:sz w:val="24"/>
          <w:szCs w:val="24"/>
          <w:highlight w:val="none"/>
          <w:lang w:val="en-US" w:eastAsia="zh-CN"/>
        </w:rPr>
        <w:t xml:space="preserve">盐城市第三人民医院二期附属大数据机房及肝脏健康大数据数智底座建设项目</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bidi="ar-SA"/>
        </w:rPr>
        <w:t xml:space="preserve">自签订合同后3个月内（以招标人发出的开工通知时间为准）供货到采购人指定地点完成安装、调试工作，并经采购人（或委托有资质的第三方）验收合格</w:t>
      </w:r>
      <w:r>
        <w:rPr>
          <w:rFonts w:hint="eastAsia" w:ascii="宋体" w:hAnsi="宋体" w:eastAsia="宋体" w:cs="宋体"/>
          <w:color w:val="auto"/>
          <w:sz w:val="24"/>
          <w:szCs w:val="24"/>
          <w:highlight w:val="none"/>
        </w:rPr>
        <w:t xml:space="preserve">。</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ffff00"/>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本项目（是/否）接受联合体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w:t>
      </w:r>
      <w:r/>
    </w:p>
    <w:p>
      <w:pPr>
        <w:pStyle w:val="921"/>
        <w:ind w:firstLine="498"/>
        <w:jc w:val="both"/>
        <w:keepLines/>
        <w:keepNext/>
        <w:pageBreakBefore w:val="0"/>
        <w:spacing w:before="145" w:beforeAutospacing="0" w:after="145" w:afterAutospacing="0" w:line="520" w:lineRule="exact"/>
        <w:rPr>
          <w:rFonts w:hint="eastAsia" w:ascii="宋体" w:hAnsi="宋体" w:eastAsia="宋体" w:cs="宋体"/>
          <w:color w:val="auto"/>
          <w:sz w:val="24"/>
          <w:szCs w:val="24"/>
          <w:highlight w:val="none"/>
        </w:rPr>
      </w:pPr>
      <w:r/>
      <w:bookmarkStart w:id="13" w:name="_Toc35393791"/>
      <w:r/>
      <w:bookmarkStart w:id="14" w:name="_Toc28359080"/>
      <w:r/>
      <w:bookmarkStart w:id="15" w:name="_Toc35393622"/>
      <w:r/>
      <w:bookmarkStart w:id="16" w:name="_Toc28359003"/>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至少提供资产负债表、利润表、现金流量表，</w:t>
      </w:r>
      <w:r>
        <w:rPr>
          <w:rFonts w:hint="eastAsia" w:ascii="宋体" w:hAnsi="宋体" w:eastAsia="宋体" w:cs="宋体"/>
          <w:color w:val="auto"/>
          <w:sz w:val="24"/>
          <w:szCs w:val="24"/>
          <w:highlight w:val="none"/>
        </w:rPr>
        <w:t xml:space="preserve">成立不满一年无需提供）；</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ascii="宋体" w:hAnsi="宋体" w:eastAsia="宋体" w:cs="宋体"/>
          <w:color w:val="auto"/>
          <w:sz w:val="24"/>
          <w:szCs w:val="24"/>
          <w:highlight w:val="none"/>
        </w:rPr>
        <w:t xml:space="preserve">本项目不专门面向中小微企业采购。对符合条件的小微型企业、监狱和戒毒企业价格或残疾人福利单位提供的服务给予20%价格扣除。投标人投标时须提供《中小企业声明函》，《中小企业声明函》未按要求填写或未提供的，不予价格扣除。</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无。</w:t>
      </w:r>
      <w:r/>
    </w:p>
    <w:p>
      <w:pPr>
        <w:pStyle w:val="921"/>
        <w:ind w:firstLine="498"/>
        <w:jc w:val="both"/>
        <w:keepLines/>
        <w:keepNext/>
        <w:pageBreakBefore w:val="0"/>
        <w:spacing w:before="145" w:beforeAutospacing="0" w:after="145"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921"/>
        <w:ind w:left="0" w:right="0" w:firstLine="54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28359005"/>
      <w:r/>
      <w:bookmarkStart w:id="19" w:name="_Toc35393793"/>
      <w:r/>
      <w:bookmarkStart w:id="20" w:name="_Toc35393624"/>
      <w:r/>
      <w:bookmarkStart w:id="21" w:name="_Toc38985266"/>
      <w:r/>
      <w:bookmarkStart w:id="22" w:name="_Toc28359082"/>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921"/>
        <w:ind w:left="0" w:right="0" w:firstLine="54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 </w:t>
      </w:r>
      <w:r/>
    </w:p>
    <w:p>
      <w:pPr>
        <w:ind w:firstLine="480"/>
        <w:jc w:val="left"/>
        <w:pageBreakBefore w:val="0"/>
        <w:spacing w:line="52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921"/>
        <w:ind w:firstLine="498"/>
        <w:jc w:val="both"/>
        <w:keepLines/>
        <w:keepNext/>
        <w:pageBreakBefore w:val="0"/>
        <w:spacing w:before="145" w:beforeAutospacing="0" w:after="145" w:afterAutospacing="0" w:line="52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921"/>
        <w:ind w:left="0" w:right="0" w:firstLine="54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年08月07日09:30</w:t>
      </w:r>
      <w:r>
        <w:rPr>
          <w:rFonts w:hint="eastAsia" w:ascii="宋体" w:hAnsi="宋体" w:eastAsia="宋体" w:cs="宋体"/>
          <w:color w:val="auto"/>
          <w:sz w:val="24"/>
          <w:szCs w:val="24"/>
          <w:highlight w:val="none"/>
          <w:shd w:val="clear" w:color="auto" w:fill="auto"/>
        </w:rPr>
        <w:t xml:space="preserve">（北京时间）。</w:t>
      </w:r>
      <w:r/>
    </w:p>
    <w:p>
      <w:pPr>
        <w:pStyle w:val="921"/>
        <w:ind w:firstLine="480"/>
        <w:jc w:val="both"/>
        <w:pageBreakBefore w:val="0"/>
        <w:spacing w:beforeAutospacing="0" w:afterAutospacing="0" w:line="52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921"/>
        <w:ind w:firstLine="498"/>
        <w:jc w:val="both"/>
        <w:keepLines/>
        <w:keepNext/>
        <w:pageBreakBefore w:val="0"/>
        <w:spacing w:before="145" w:beforeAutospacing="0" w:after="145" w:afterAutospacing="0" w:line="520" w:lineRule="exact"/>
        <w:rPr>
          <w:rFonts w:hint="eastAsia" w:ascii="宋体" w:hAnsi="宋体" w:eastAsia="宋体" w:cs="宋体"/>
          <w:color w:val="auto"/>
          <w:sz w:val="24"/>
          <w:szCs w:val="24"/>
          <w:highlight w:val="none"/>
        </w:rPr>
      </w:pPr>
      <w:r/>
      <w:bookmarkStart w:id="23" w:name="_Toc35393625"/>
      <w:r/>
      <w:bookmarkStart w:id="24" w:name="_Toc28359084"/>
      <w:r/>
      <w:bookmarkStart w:id="25" w:name="_Toc38985267"/>
      <w:r/>
      <w:bookmarkStart w:id="26" w:name="_Toc28359007"/>
      <w:r/>
      <w:bookmarkStart w:id="27" w:name="_Toc3539379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921"/>
        <w:ind w:firstLine="498"/>
        <w:jc w:val="both"/>
        <w:keepLines/>
        <w:keepNext/>
        <w:pageBreakBefore w:val="0"/>
        <w:spacing w:before="145" w:beforeAutospacing="0" w:after="145" w:afterAutospacing="0" w:line="5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 潜在供应商访问电子招标响应交易平台的网络地址和方法：</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3.有关本次招标的事项若存在变动或修改，敬请及时关注盐城市政府采购中心在“中国政府采购网”“江苏政府采购网”“盐城市政府采购网”发布的更正公告。</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12"/>
        <w:ind w:left="0" w:right="0" w:firstLine="48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color w:val="auto"/>
          <w:sz w:val="24"/>
          <w:szCs w:val="24"/>
          <w:highlight w:val="none"/>
          <w:lang w:val="en-US" w:eastAsia="zh-CN"/>
        </w:rPr>
        <w:t xml:space="preserve">盐城市第三人民医院</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 </w:t>
      </w:r>
      <w:r>
        <w:rPr>
          <w:rFonts w:hint="eastAsia" w:ascii="宋体" w:hAnsi="宋体" w:eastAsia="宋体" w:cs="宋体"/>
          <w:color w:val="auto"/>
          <w:sz w:val="24"/>
          <w:szCs w:val="24"/>
          <w:highlight w:val="none"/>
          <w:lang w:val="en-US" w:eastAsia="zh-CN"/>
        </w:rPr>
        <w:t xml:space="preserve">盐城市新都西路2号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eastAsia="宋体" w:cs="宋体"/>
          <w:color w:val="auto"/>
          <w:sz w:val="24"/>
          <w:szCs w:val="24"/>
          <w:highlight w:val="none"/>
          <w:lang w:val="en-US" w:eastAsia="zh-CN"/>
        </w:rPr>
        <w:t xml:space="preserve">张勇</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auto"/>
          <w:sz w:val="24"/>
          <w:szCs w:val="24"/>
          <w:highlight w:val="none"/>
          <w:lang w:val="en-US" w:eastAsia="zh-CN"/>
        </w:rPr>
        <w:t xml:space="preserve">15189200776</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称：盐城市政府采购中心</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 盐城市府西路1号市公共资源交易中心5楼</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联系人：倪女士                     </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0515-69083502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项目联系人：倪女士</w:t>
      </w:r>
      <w:r/>
    </w:p>
    <w:p>
      <w:pPr>
        <w:pStyle w:val="921"/>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话：0515-69083502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921"/>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20614213"/>
      <w:r/>
      <w:bookmarkStart w:id="37" w:name="_Toc20823274"/>
      <w:r/>
      <w:bookmarkStart w:id="38" w:name="_Toc513029202"/>
      <w:r/>
      <w:bookmarkStart w:id="39" w:name="_Toc16938518"/>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921"/>
        <w:ind w:firstLine="498"/>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40" w:name="_Toc120614214"/>
      <w:r/>
      <w:bookmarkStart w:id="41" w:name="_Toc20823275"/>
      <w:r/>
      <w:bookmarkStart w:id="42" w:name="_Toc513029203"/>
      <w:r/>
      <w:bookmarkStart w:id="43" w:name="_Toc16938519"/>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4" w:name="_Toc20823276"/>
      <w:r/>
      <w:bookmarkStart w:id="45" w:name="_Toc16938520"/>
      <w:r/>
      <w:bookmarkStart w:id="46" w:name="_Toc513029204"/>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9" w:name="_Toc16938521"/>
      <w:r/>
      <w:bookmarkStart w:id="50" w:name="_Toc513029205"/>
      <w:r/>
      <w:bookmarkStart w:id="51" w:name="_Toc20823277"/>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firstLine="420"/>
        <w:pageBreakBefore w:val="0"/>
        <w:spacing w:line="520" w:lineRule="exact"/>
        <w:widowControl w:val="off"/>
        <w:rPr>
          <w:rFonts w:hint="eastAsia" w:ascii="宋体" w:hAnsi="宋体" w:eastAsia="宋体" w:cs="宋体"/>
          <w:color w:val="auto"/>
          <w:sz w:val="24"/>
          <w:szCs w:val="21"/>
          <w:highlight w:val="none"/>
        </w:rPr>
      </w:pPr>
      <w:r/>
      <w:bookmarkStart w:id="52" w:name="_Toc513029206"/>
      <w:r/>
      <w:bookmarkStart w:id="53" w:name="_Toc16938522"/>
      <w:r/>
      <w:bookmarkStart w:id="54" w:name="_Toc20823278"/>
      <w:r>
        <w:rPr>
          <w:rFonts w:hint="eastAsia" w:ascii="宋体" w:hAnsi="宋体" w:eastAsia="宋体" w:cs="宋体"/>
          <w:color w:val="auto"/>
          <w:sz w:val="24"/>
          <w:szCs w:val="21"/>
          <w:highlight w:val="none"/>
        </w:rPr>
        <w:t xml:space="preserve">3、适用法律</w:t>
      </w:r>
      <w:bookmarkEnd w:id="52"/>
      <w:r/>
      <w:bookmarkEnd w:id="53"/>
      <w:r/>
      <w:bookmarkEnd w:id="54"/>
      <w:r>
        <w:rPr>
          <w:rFonts w:hint="eastAsia" w:ascii="宋体" w:hAnsi="宋体" w:eastAsia="宋体" w:cs="宋体"/>
          <w:color w:val="auto"/>
          <w:sz w:val="24"/>
          <w:szCs w:val="21"/>
          <w:highlight w:val="none"/>
        </w:rPr>
        <w:t xml:space="preserve">和标准</w:t>
      </w:r>
      <w:r/>
    </w:p>
    <w:p>
      <w:pPr>
        <w:pStyle w:val="921"/>
        <w:ind w:firstLine="42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55" w:name="_Toc513029207"/>
      <w:r/>
      <w:bookmarkStart w:id="56" w:name="_Toc462564067"/>
      <w:r/>
      <w:bookmarkStart w:id="57" w:name="_Toc16938523"/>
      <w:r/>
      <w:bookmarkStart w:id="58" w:name="_Toc20823279"/>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投标人应自行承担所有与参加投标有关的费用，无论投标过程中的做法和结果如何，盐城市政府采购中心（以下简称采购中心）在任何情况下均无义务和责任承担这些费用。</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pStyle w:val="921"/>
        <w:ind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921"/>
        <w:ind w:firstLine="321"/>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59" w:name="_Toc120614215"/>
      <w:r/>
      <w:bookmarkStart w:id="60" w:name="_Toc16938525"/>
      <w:r/>
      <w:bookmarkStart w:id="61" w:name="_Toc20823281"/>
      <w:r/>
      <w:bookmarkStart w:id="62" w:name="_Toc513029209"/>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63" w:name="_Toc16938526"/>
      <w:r/>
      <w:bookmarkStart w:id="64" w:name="_Toc513029210"/>
      <w:r/>
      <w:bookmarkStart w:id="65" w:name="_Toc20823282"/>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1"/>
        <w:ind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66" w:name="_Toc462564070"/>
      <w:r/>
      <w:bookmarkStart w:id="67" w:name="_Toc16938527"/>
      <w:r/>
      <w:bookmarkStart w:id="68" w:name="_Toc513029211"/>
      <w:r/>
      <w:bookmarkStart w:id="69" w:name="_Toc20823283"/>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921"/>
        <w:ind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0" w:name="_Toc462564071"/>
      <w:r/>
      <w:bookmarkStart w:id="71" w:name="_Toc16938528"/>
      <w:r/>
      <w:bookmarkStart w:id="72" w:name="_Toc513029212"/>
      <w:r/>
      <w:bookmarkStart w:id="73" w:name="_Toc20823284"/>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在投标截止时间前，采购中心可以对招标文件进行修改。</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采购中心有权按照法定的要求推迟投标截止日期和开标日期。</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921"/>
        <w:ind w:firstLine="482"/>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74" w:name="_Toc16938529"/>
      <w:r/>
      <w:bookmarkStart w:id="75" w:name="_Toc513029213"/>
      <w:r/>
      <w:bookmarkStart w:id="76" w:name="_Toc20823285"/>
      <w:r/>
      <w:bookmarkStart w:id="77" w:name="_Toc462564072"/>
      <w:r/>
      <w:bookmarkStart w:id="78" w:name="_Toc120614216"/>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921"/>
        <w:ind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9" w:name="_Toc513029214"/>
      <w:r/>
      <w:bookmarkStart w:id="80" w:name="_Toc20823286"/>
      <w:r/>
      <w:bookmarkStart w:id="81" w:name="_Toc462564073"/>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83" w:name="_Toc20823287"/>
      <w:r/>
      <w:bookmarkStart w:id="84" w:name="_Toc513029215"/>
      <w:r/>
      <w:bookmarkStart w:id="85" w:name="_Toc16938531"/>
      <w:r/>
      <w:bookmarkStart w:id="86" w:name="_Toc462564074"/>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87" w:name="_Toc14577354"/>
      <w:r/>
      <w:bookmarkStart w:id="88" w:name="_Toc14577357"/>
      <w:r/>
      <w:bookmarkStart w:id="89" w:name="_Toc49090508"/>
      <w:r/>
      <w:bookmarkStart w:id="90" w:name="_Toc513029219"/>
      <w:r/>
      <w:bookmarkStart w:id="91" w:name="_Toc49090509"/>
      <w:r/>
      <w:bookmarkStart w:id="92" w:name="_Toc513029216"/>
      <w:r/>
      <w:bookmarkStart w:id="93" w:name="_Toc49090507"/>
      <w:r/>
      <w:bookmarkStart w:id="94" w:name="_Toc14577355"/>
      <w:r/>
      <w:bookmarkStart w:id="95" w:name="_Hlt26954838"/>
      <w:r/>
      <w:bookmarkStart w:id="96" w:name="_Hlt26670360"/>
      <w:r/>
      <w:bookmarkStart w:id="97" w:name="_Hlt26668975"/>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921"/>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98" w:name="_Hlt26954848"/>
      <w:r/>
      <w:bookmarkStart w:id="99" w:name="_Hlt26954731"/>
      <w:r/>
      <w:bookmarkStart w:id="100" w:name="_Hlt26670482"/>
      <w:r/>
      <w:bookmarkStart w:id="101" w:name="_Hlt26954846"/>
      <w:r/>
      <w:bookmarkStart w:id="102" w:name="_Hlt26670486"/>
      <w:r>
        <w:rPr>
          <w:rFonts w:hint="eastAsia" w:ascii="宋体" w:hAnsi="宋体" w:eastAsia="宋体" w:cs="宋体"/>
          <w:color w:val="auto"/>
          <w:sz w:val="24"/>
          <w:szCs w:val="24"/>
          <w:highlight w:val="none"/>
        </w:rPr>
        <w:t xml:space="preserve">13、技术要求响应及偏离表、商务要求响应及偏离表</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14.3投标人需根据招标文件要求提供所投标的的主要组成部分、功能设计、实现思路及关键技术等。</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03" w:name="_Toc14577359"/>
      <w:r/>
      <w:bookmarkStart w:id="104" w:name="_Toc49090510"/>
      <w:r>
        <w:rPr>
          <w:rFonts w:hint="eastAsia" w:ascii="宋体" w:hAnsi="宋体" w:eastAsia="宋体" w:cs="宋体"/>
          <w:color w:val="auto"/>
          <w:sz w:val="24"/>
          <w:szCs w:val="24"/>
          <w:highlight w:val="none"/>
        </w:rPr>
        <w:t xml:space="preserve">15、投标函和开标一览表</w:t>
      </w:r>
      <w:bookmarkEnd w:id="103"/>
      <w:r/>
      <w:bookmarkEnd w:id="104"/>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05" w:name="_Toc14577360"/>
      <w:r/>
      <w:bookmarkStart w:id="106" w:name="_Toc49090511"/>
      <w:r>
        <w:rPr>
          <w:rFonts w:hint="eastAsia" w:ascii="宋体" w:hAnsi="宋体" w:eastAsia="宋体" w:cs="宋体"/>
          <w:color w:val="auto"/>
          <w:sz w:val="24"/>
          <w:szCs w:val="24"/>
          <w:highlight w:val="none"/>
        </w:rPr>
        <w:t xml:space="preserve">16、投标有效期</w:t>
      </w:r>
      <w:bookmarkEnd w:id="105"/>
      <w:r/>
      <w:bookmarkEnd w:id="106"/>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921"/>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107" w:name="_Toc16938540"/>
      <w:r/>
      <w:bookmarkStart w:id="108" w:name="_Toc513029224"/>
      <w:r/>
      <w:bookmarkStart w:id="109" w:name="_Toc120614217"/>
      <w:r/>
      <w:bookmarkStart w:id="110" w:name="_Toc20823296"/>
      <w:r/>
      <w:bookmarkStart w:id="111" w:name="_Hlt26954852"/>
      <w:r/>
      <w:bookmarkStart w:id="112" w:name="_Hlt26954739"/>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3" w:name="_Toc513029225"/>
      <w:r/>
      <w:bookmarkStart w:id="114" w:name="_Toc462564084"/>
      <w:r/>
      <w:bookmarkStart w:id="115" w:name="_Toc20823297"/>
      <w:r/>
      <w:bookmarkStart w:id="116" w:name="_Toc16938541"/>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7" w:name="_Toc16938542"/>
      <w:r/>
      <w:bookmarkEnd w:id="117"/>
      <w:r/>
      <w:bookmarkStart w:id="118" w:name="_Toc20823298"/>
      <w:r/>
      <w:bookmarkEnd w:id="118"/>
      <w:r/>
      <w:bookmarkStart w:id="119" w:name="_Toc513029226"/>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采购中心可以按照规定，通过修改招标文件酌情延长投标截止日期，在此情况下，投标人的所有权利和义务以及投标人受制的截止日期均应以延长后新的截止日期为准。</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20" w:name="_Toc513029227"/>
      <w:r/>
      <w:bookmarkStart w:id="121" w:name="_Toc16938543"/>
      <w:r/>
      <w:bookmarkStart w:id="122" w:name="_Toc20823299"/>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采购中心拒绝接收在其规定的投标截止时间后上传的任何投标文件。</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23" w:name="_Toc513029228"/>
      <w:r/>
      <w:bookmarkStart w:id="124" w:name="_Toc20823300"/>
      <w:r/>
      <w:bookmarkStart w:id="125" w:name="_Toc16938544"/>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921"/>
        <w:ind w:firstLine="482"/>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126" w:name="_Toc120614218"/>
      <w:r/>
      <w:bookmarkStart w:id="127" w:name="_Toc20823301"/>
      <w:r/>
      <w:bookmarkStart w:id="128" w:name="_Toc16938545"/>
      <w:r/>
      <w:bookmarkStart w:id="129" w:name="_Toc513029229"/>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0" w:name="_Toc16938546"/>
      <w:r/>
      <w:bookmarkStart w:id="131" w:name="_Toc20823302"/>
      <w:r/>
      <w:bookmarkStart w:id="132" w:name="_Toc513029230"/>
      <w:r>
        <w:rPr>
          <w:rFonts w:hint="eastAsia" w:ascii="宋体" w:hAnsi="宋体" w:eastAsia="宋体" w:cs="宋体"/>
          <w:color w:val="auto"/>
          <w:sz w:val="24"/>
          <w:szCs w:val="24"/>
          <w:highlight w:val="none"/>
        </w:rPr>
        <w:t xml:space="preserve">22、开标</w:t>
      </w:r>
      <w:bookmarkEnd w:id="130"/>
      <w:r/>
      <w:bookmarkEnd w:id="131"/>
      <w:r/>
      <w:bookmarkEnd w:id="132"/>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采购中心将在招标公告中规定的时间和地点组织公开开标。投标人应当按照《操作手册》规定，参加开标活动和在苏采云系统规定的时间内对投标文件进行解密。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3" w:name="_Toc16938547"/>
      <w:r/>
      <w:bookmarkStart w:id="134" w:name="_Toc513029231"/>
      <w:r/>
      <w:bookmarkStart w:id="135" w:name="_Toc20823303"/>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921"/>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开标后，采购中心将立即组织评标委员会（以下简称评委会）进行评标。</w:t>
      </w:r>
      <w:r/>
    </w:p>
    <w:p>
      <w:pPr>
        <w:pStyle w:val="921"/>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pStyle w:val="921"/>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24.1凡是与审查、澄清、评价和比较投标的有关资料以及授标建议等，采购人、评委、采购中心均不得向投标人或与评标无关的其他人员透露。</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采购中心和评标委员会不向未中标的投标人解释未中标原因，也不公布评标过程中的相关细节。</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6" w:name="_Toc20823304"/>
      <w:r/>
      <w:bookmarkStart w:id="137" w:name="_Toc513029232"/>
      <w:r/>
      <w:bookmarkStart w:id="138" w:name="_Toc16938548"/>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9" w:name="_Toc16938549"/>
      <w:r/>
      <w:bookmarkStart w:id="140" w:name="_Toc513029233"/>
      <w:r/>
      <w:bookmarkStart w:id="141" w:name="_Toc20823305"/>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2" w:name="_Toc20823306"/>
      <w:r/>
      <w:bookmarkStart w:id="143" w:name="_Toc513029234"/>
      <w:r/>
      <w:bookmarkStart w:id="144" w:name="_Toc16938550"/>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21"/>
        <w:ind w:firstLine="42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921"/>
        <w:ind w:firstLine="42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921"/>
        <w:ind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5" w:name="_Toc16938551"/>
      <w:r/>
      <w:bookmarkStart w:id="146" w:name="_Toc513029235"/>
      <w:r/>
      <w:bookmarkStart w:id="147" w:name="_Toc20823307"/>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921"/>
        <w:ind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921"/>
        <w:ind w:firstLine="480"/>
        <w:jc w:val="both"/>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1.投标（响应）报价低于全部通过符合性审查供应商投标（响应）报价平均值60%的，即投标（响应）报价&lt;全部通过符合性审查供应商投标（响应）报价平均值×60%；</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2.投标（响应）报价低于通过符合性审查的次低报价供应商投标（响应）报价60%的，即投标（响应）报价&lt;通过符合性审查的次低报价供应商投标（响应）报价×60%；</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3.投标（响应）报价低于采购项目最高限价60%的，即投标（响应）报价&lt;采购项目最高限价×60%；</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21"/>
        <w:ind w:left="0" w:right="0" w:firstLine="480"/>
        <w:jc w:val="both"/>
        <w:pageBreakBefore w:val="0"/>
        <w:spacing w:before="0" w:beforeAutospacing="0" w:after="0" w:afterAutospacing="0"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921"/>
        <w:ind w:left="479"/>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921"/>
        <w:ind w:firstLine="482"/>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921"/>
        <w:ind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9" w:name="_Toc20823310"/>
      <w:r/>
      <w:bookmarkStart w:id="150" w:name="_Toc513029238"/>
      <w:r/>
      <w:bookmarkStart w:id="151" w:name="_Toc16938554"/>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采购中心将在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28.4.2向采购人、采购中心行贿或者提供其他不正当利益的。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28.5.有下列情形之一的，视为投标人串通投标，投标无效：</w:t>
      </w:r>
      <w:bookmarkEnd w:id="152"/>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921"/>
        <w:ind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采购人及采购中心只接收以纸质原件形式送达的质疑,采购人和采购中心不接受未填写快递运单的快件。质疑接收部门为</w:t>
      </w:r>
      <w:r>
        <w:rPr>
          <w:rFonts w:hint="eastAsia" w:ascii="宋体" w:hAnsi="宋体" w:eastAsia="宋体" w:cs="宋体"/>
          <w:color w:val="auto"/>
          <w:sz w:val="24"/>
          <w:szCs w:val="24"/>
          <w:highlight w:val="none"/>
          <w:lang w:val="en-US" w:eastAsia="zh-CN"/>
        </w:rPr>
        <w:t xml:space="preserve">公共资源交易中心业务</w:t>
      </w:r>
      <w:r>
        <w:rPr>
          <w:rFonts w:hint="eastAsia" w:ascii="宋体" w:hAnsi="宋体" w:eastAsia="宋体" w:cs="宋体"/>
          <w:color w:val="auto"/>
          <w:sz w:val="24"/>
          <w:szCs w:val="24"/>
          <w:highlight w:val="none"/>
        </w:rPr>
        <w:t xml:space="preserve">受理处，联系地址：盐城市府西路1号市公共资源交易中心</w:t>
      </w:r>
      <w:r>
        <w:rPr>
          <w:rFonts w:hint="eastAsia" w:ascii="宋体" w:hAnsi="宋体" w:eastAsia="宋体" w:cs="宋体"/>
          <w:color w:val="auto"/>
          <w:sz w:val="24"/>
          <w:szCs w:val="24"/>
          <w:highlight w:val="none"/>
          <w:lang w:val="en-US" w:eastAsia="zh-CN"/>
        </w:rPr>
        <w:t xml:space="preserve">412</w:t>
      </w:r>
      <w:r>
        <w:rPr>
          <w:rFonts w:hint="eastAsia" w:ascii="宋体" w:hAnsi="宋体" w:eastAsia="宋体" w:cs="宋体"/>
          <w:color w:val="auto"/>
          <w:sz w:val="24"/>
          <w:szCs w:val="24"/>
          <w:highlight w:val="none"/>
        </w:rPr>
        <w:t xml:space="preserve">，联系电话：0515-86665052。</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921"/>
        <w:ind w:firstLine="468"/>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21"/>
        <w:ind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921"/>
        <w:ind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21"/>
        <w:ind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21"/>
        <w:jc w:val="both"/>
        <w:keepLines/>
        <w:keepNext/>
        <w:pageBreakBefore w:val="0"/>
        <w:spacing w:before="145" w:beforeAutospacing="0" w:after="145" w:afterAutospacing="0" w:line="520" w:lineRule="exact"/>
        <w:widowControl w:val="off"/>
        <w:rPr>
          <w:rFonts w:hint="eastAsia" w:ascii="宋体" w:hAnsi="宋体" w:eastAsia="宋体" w:cs="宋体"/>
          <w:color w:val="auto"/>
          <w:sz w:val="24"/>
          <w:szCs w:val="24"/>
          <w:highlight w:val="none"/>
        </w:rPr>
      </w:pPr>
      <w:r/>
      <w:bookmarkStart w:id="153" w:name="_Toc20823308"/>
      <w:r/>
      <w:bookmarkStart w:id="154" w:name="_Toc120614220"/>
      <w:r/>
      <w:bookmarkStart w:id="155" w:name="_Toc513029236"/>
      <w:r/>
      <w:bookmarkStart w:id="156" w:name="_Toc16938552"/>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921"/>
        <w:ind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7" w:name="_Toc513029237"/>
      <w:r/>
      <w:bookmarkStart w:id="158" w:name="_Toc20823309"/>
      <w:r/>
      <w:bookmarkStart w:id="159" w:name="_Toc16938553"/>
      <w:r>
        <w:rPr>
          <w:rFonts w:hint="eastAsia" w:ascii="宋体" w:hAnsi="宋体" w:eastAsia="宋体" w:cs="宋体"/>
          <w:color w:val="auto"/>
          <w:sz w:val="24"/>
          <w:szCs w:val="24"/>
          <w:highlight w:val="none"/>
        </w:rPr>
        <w:t xml:space="preserve">31. 签订合同</w:t>
      </w:r>
      <w:bookmarkEnd w:id="157"/>
      <w:r/>
      <w:bookmarkEnd w:id="158"/>
      <w:r/>
      <w:bookmarkEnd w:id="159"/>
      <w:r/>
      <w:r/>
    </w:p>
    <w:p>
      <w:pPr>
        <w:pStyle w:val="921"/>
        <w:ind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921"/>
        <w:ind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921"/>
        <w:ind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921"/>
        <w:ind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21"/>
        <w:numPr>
          <w:ilvl w:val="0"/>
          <w:numId w:val="0"/>
        </w:numPr>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921"/>
        <w:ind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921"/>
        <w:ind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val="0"/>
          <w:i/>
          <w:iCs w:val="0"/>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before="0" w:after="0"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930"/>
        <w:ind w:left="0" w:firstLine="560"/>
        <w:pageBreakBefore w:val="0"/>
        <w:spacing w:after="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930"/>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line="0" w:lineRule="atLeast"/>
        <w:rPr>
          <w:color w:val="auto"/>
          <w:highlight w:val="none"/>
        </w:rPr>
      </w:pPr>
      <w:r>
        <w:rPr>
          <w:color w:val="auto"/>
          <w:highlight w:val="none"/>
        </w:rPr>
        <w:t xml:space="preserve"> </w:t>
      </w:r>
      <w:r/>
    </w:p>
    <w:p>
      <w:pPr>
        <w:pStyle w:val="921"/>
        <w:jc w:val="both"/>
        <w:spacing w:beforeAutospacing="0" w:afterAutospacing="0" w:line="0" w:lineRule="atLeast"/>
        <w:rPr>
          <w:color w:val="auto"/>
          <w:highlight w:val="none"/>
        </w:rPr>
      </w:pPr>
      <w:r>
        <w:rPr>
          <w:color w:val="auto"/>
          <w:highlight w:val="none"/>
        </w:rPr>
        <w:t xml:space="preserve"> </w:t>
      </w:r>
      <w:r/>
    </w:p>
    <w:p>
      <w:pPr>
        <w:pStyle w:val="921"/>
        <w:jc w:val="both"/>
        <w:spacing w:beforeAutospacing="0" w:afterAutospacing="0" w:line="0" w:lineRule="atLeast"/>
        <w:rPr>
          <w:color w:val="auto"/>
          <w:highlight w:val="none"/>
        </w:rPr>
      </w:pPr>
      <w:r>
        <w:rPr>
          <w:color w:val="auto"/>
          <w:highlight w:val="none"/>
        </w:rPr>
        <w:t xml:space="preserve"> </w:t>
      </w:r>
      <w:r/>
    </w:p>
    <w:p>
      <w:pPr>
        <w:jc w:val="center"/>
        <w:spacing w:line="360" w:lineRule="auto"/>
        <w:widowControl/>
        <w:rPr>
          <w:color w:val="auto"/>
          <w:sz w:val="36"/>
          <w:szCs w:val="44"/>
          <w:highlight w:val="none"/>
        </w:rPr>
      </w:pPr>
      <w:r>
        <w:rPr>
          <w:color w:val="auto"/>
          <w:sz w:val="36"/>
          <w:szCs w:val="44"/>
          <w:highlight w:val="none"/>
        </w:rPr>
        <w:t xml:space="preserve"> </w:t>
      </w:r>
      <w:bookmarkStart w:id="160" w:name="_Toc479757211"/>
      <w:r/>
      <w:bookmarkStart w:id="161" w:name="_Toc20823346"/>
      <w:r/>
      <w:bookmarkStart w:id="162" w:name="_Toc120614244"/>
      <w:r/>
      <w:bookmarkStart w:id="163" w:name="_Hlt16619350"/>
      <w:r/>
      <w:bookmarkStart w:id="164" w:name="_Toc16938590"/>
      <w:r/>
      <w:bookmarkStart w:id="165" w:name="_Toc462564139"/>
      <w:r/>
      <w:bookmarkStart w:id="166" w:name="_Hlt16619369"/>
      <w:r/>
      <w:r/>
    </w:p>
    <w:p>
      <w:pPr>
        <w:rPr>
          <w:color w:val="auto"/>
          <w:sz w:val="36"/>
          <w:szCs w:val="44"/>
          <w:highlight w:val="none"/>
        </w:rPr>
      </w:pPr>
      <w:r>
        <w:rPr>
          <w:color w:val="auto"/>
          <w:sz w:val="36"/>
          <w:szCs w:val="44"/>
          <w:highlight w:val="none"/>
        </w:rPr>
        <w:br w:type="page" w:clear="all"/>
      </w:r>
      <w:r/>
    </w:p>
    <w:p>
      <w:pPr>
        <w:numPr>
          <w:ilvl w:val="0"/>
          <w:numId w:val="1"/>
        </w:numPr>
        <w:jc w:val="center"/>
        <w:spacing w:line="360" w:lineRule="auto"/>
        <w:widowControl/>
        <w:rPr>
          <w:rFonts w:hint="eastAsia" w:ascii="宋体" w:hAnsi="宋体" w:cs="宋体"/>
          <w:b/>
          <w:color w:val="auto"/>
          <w:sz w:val="48"/>
          <w:szCs w:val="44"/>
          <w:highlight w:val="none"/>
        </w:rPr>
      </w:pPr>
      <w:r>
        <w:rPr>
          <w:rFonts w:hint="eastAsia" w:ascii="宋体" w:hAnsi="宋体" w:cs="宋体"/>
          <w:b/>
          <w:color w:val="auto"/>
          <w:sz w:val="48"/>
          <w:szCs w:val="44"/>
          <w:highlight w:val="none"/>
        </w:rPr>
        <w:t xml:space="preserve"> 合同条款</w:t>
      </w:r>
      <w:r/>
    </w:p>
    <w:p>
      <w:pPr>
        <w:pStyle w:val="922"/>
        <w:numPr>
          <w:ilvl w:val="0"/>
          <w:numId w:val="0"/>
        </w:numPr>
        <w:jc w:val="both"/>
        <w:widowControl w:val="off"/>
        <w:rPr>
          <w:color w:val="auto"/>
          <w:highlight w:val="none"/>
        </w:rPr>
      </w:pPr>
      <w:r>
        <w:rPr>
          <w:color w:val="auto"/>
          <w:highlight w:val="none"/>
        </w:rPr>
      </w:r>
      <w:r/>
    </w:p>
    <w:p>
      <w:pPr>
        <w:rPr>
          <w:rFonts w:ascii="宋体" w:hAnsi="宋体" w:cs="宋体"/>
          <w:color w:val="auto"/>
          <w:highlight w:val="none"/>
        </w:rPr>
      </w:pPr>
      <w:r/>
      <w:bookmarkStart w:id="167" w:name="EB6d2006462e294de090c16e672cecc3bd"/>
      <w:r/>
      <w:bookmarkEnd w:id="167"/>
      <w:r/>
      <w:r/>
    </w:p>
    <w:p>
      <w:pPr>
        <w:jc w:val="center"/>
        <w:rPr>
          <w:rFonts w:ascii="宋体" w:hAnsi="宋体" w:cs="宋体"/>
          <w:b/>
          <w:bCs/>
          <w:color w:val="auto"/>
          <w:spacing w:val="-20"/>
          <w:sz w:val="48"/>
          <w:szCs w:val="48"/>
          <w:highlight w:val="none"/>
        </w:rPr>
      </w:pPr>
      <w:r/>
      <w:bookmarkStart w:id="168"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color w:val="auto"/>
          <w:sz w:val="30"/>
          <w:highlight w:val="none"/>
        </w:rPr>
      </w:pPr>
      <w:r>
        <w:rPr>
          <w:rFonts w:ascii="宋体" w:hAnsi="宋体" w:cs="宋体"/>
          <w:color w:val="auto"/>
          <w:sz w:val="30"/>
          <w:highlight w:val="none"/>
        </w:rPr>
      </w:r>
      <w:r/>
    </w:p>
    <w:p>
      <w:pPr>
        <w:jc w:val="center"/>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ind w:left="1920" w:hanging="1500"/>
        <w:spacing w:line="360" w:lineRule="auto"/>
        <w:rPr>
          <w:rFonts w:ascii="宋体" w:hAnsi="宋体" w:cs="宋体"/>
          <w:color w:val="auto"/>
          <w:sz w:val="30"/>
          <w:highlight w:val="none"/>
        </w:rPr>
      </w:pPr>
      <w:r>
        <w:rPr>
          <w:rFonts w:hint="eastAsia" w:ascii="宋体" w:hAnsi="宋体" w:cs="宋体"/>
          <w:color w:val="auto"/>
          <w:sz w:val="30"/>
          <w:highlight w:val="none"/>
        </w:rPr>
        <w:t xml:space="preserve">项目名称：</w:t>
      </w:r>
      <w:r>
        <w:rPr>
          <w:rFonts w:hint="eastAsia" w:ascii="宋体" w:hAnsi="宋体" w:cs="宋体"/>
          <w:color w:val="auto"/>
          <w:sz w:val="30"/>
          <w:highlight w:val="none"/>
          <w:lang w:val="en-US" w:eastAsia="zh-CN"/>
        </w:rPr>
        <w:t xml:space="preserve">盐城市第三人民医院二期附属大数据机房及肝脏健康大数据数智底座建设项目</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360" w:lineRule="auto"/>
        <w:rPr>
          <w:rFonts w:hint="default" w:ascii="宋体" w:hAnsi="宋体" w:cs="宋体" w:eastAsiaTheme="minorEastAsia"/>
          <w:color w:val="auto"/>
          <w:sz w:val="30"/>
          <w:highlight w:val="none"/>
          <w:lang w:val="en-US" w:eastAsia="zh-CN"/>
        </w:rPr>
      </w:pPr>
      <w:r>
        <w:rPr>
          <w:rFonts w:hint="eastAsia" w:ascii="宋体" w:hAnsi="宋体" w:cs="宋体"/>
          <w:color w:val="auto"/>
          <w:sz w:val="30"/>
          <w:highlight w:val="none"/>
        </w:rPr>
        <w:t xml:space="preserve">甲    方：</w:t>
      </w:r>
      <w:r>
        <w:rPr>
          <w:rFonts w:hint="eastAsia" w:ascii="宋体" w:hAnsi="宋体" w:cs="宋体"/>
          <w:color w:val="auto"/>
          <w:sz w:val="30"/>
          <w:highlight w:val="none"/>
          <w:lang w:val="en-US" w:eastAsia="zh-CN"/>
        </w:rPr>
        <w:t xml:space="preserve">盐城市第三人民医院</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hint="default" w:ascii="宋体" w:hAnsi="宋体" w:cs="宋体" w:eastAsiaTheme="minorEastAsia"/>
          <w:color w:val="auto"/>
          <w:sz w:val="30"/>
          <w:highlight w:val="none"/>
          <w:lang w:val="en-US" w:eastAsia="zh-CN"/>
        </w:rPr>
      </w:pPr>
      <w:r>
        <w:rPr>
          <w:rFonts w:hint="eastAsia" w:ascii="宋体" w:hAnsi="宋体" w:cs="宋体"/>
          <w:color w:val="auto"/>
          <w:sz w:val="30"/>
          <w:highlight w:val="none"/>
        </w:rPr>
        <w:t xml:space="preserve">签订时间：</w:t>
      </w:r>
      <w:r>
        <w:rPr>
          <w:rFonts w:hint="eastAsia" w:ascii="宋体" w:hAnsi="宋体" w:cs="宋体"/>
          <w:color w:val="auto"/>
          <w:sz w:val="30"/>
          <w:highlight w:val="none"/>
          <w:lang w:val="en-US" w:eastAsia="zh-CN"/>
        </w:rPr>
        <w:t xml:space="preserve">2026年   月</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使用说明</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1.本合同标准文本适用于购买现成货物的采购项目，不包括需要供应商定制开发、创新研发的货物采购项目。</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auto"/>
          <w:sz w:val="44"/>
          <w:szCs w:val="44"/>
          <w:highlight w:val="none"/>
        </w:rPr>
      </w:r>
      <w:bookmarkEnd w:id="168"/>
      <w:r/>
      <w:r/>
    </w:p>
    <w:p>
      <w:pPr>
        <w:jc w:val="center"/>
        <w:keepLines/>
        <w:keepNext/>
        <w:spacing w:line="400" w:lineRule="exact"/>
        <w:rPr>
          <w:rFonts w:ascii="黑体" w:hAnsi="黑体" w:eastAsia="黑体"/>
          <w:b/>
          <w:bCs/>
          <w:color w:val="auto"/>
          <w:sz w:val="28"/>
          <w:szCs w:val="28"/>
          <w:highlight w:val="none"/>
        </w:rPr>
        <w:outlineLvl w:val="1"/>
      </w:pPr>
      <w:r/>
      <w:bookmarkStart w:id="169" w:name="_Toc22209"/>
      <w:r/>
      <w:r/>
    </w:p>
    <w:p>
      <w:pPr>
        <w:jc w:val="center"/>
        <w:keepLines/>
        <w:keepNext/>
        <w:spacing w:line="400" w:lineRule="exact"/>
        <w:rPr>
          <w:rFonts w:ascii="黑体" w:hAnsi="华文中宋" w:eastAsia="黑体"/>
          <w:color w:val="auto"/>
          <w:sz w:val="28"/>
          <w:szCs w:val="28"/>
          <w:highlight w:val="none"/>
        </w:rPr>
        <w:outlineLvl w:val="1"/>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69"/>
      <w:r/>
      <w:r/>
    </w:p>
    <w:p>
      <w:pPr>
        <w:jc w:val="center"/>
        <w:keepLines/>
        <w:keepNext/>
        <w:spacing w:line="360" w:lineRule="auto"/>
        <w:rPr>
          <w:rFonts w:ascii="黑体" w:hAnsi="华文中宋" w:eastAsia="黑体"/>
          <w:color w:val="auto"/>
          <w:sz w:val="28"/>
          <w:szCs w:val="28"/>
          <w:highlight w:val="none"/>
        </w:rPr>
        <w:outlineLvl w:val="1"/>
      </w:pPr>
      <w:r>
        <w:rPr>
          <w:rFonts w:ascii="黑体" w:hAnsi="华文中宋" w:eastAsia="黑体"/>
          <w:color w:val="auto"/>
          <w:sz w:val="28"/>
          <w:szCs w:val="28"/>
          <w:highlight w:val="none"/>
        </w:rPr>
      </w:r>
      <w:r/>
    </w:p>
    <w:p>
      <w:pPr>
        <w:spacing w:line="360" w:lineRule="auto"/>
        <w:rPr>
          <w:rFonts w:hint="default" w:ascii="宋体" w:hAnsi="宋体" w:eastAsiaTheme="minorEastAsia"/>
          <w:color w:val="auto"/>
          <w:sz w:val="24"/>
          <w:highlight w:val="none"/>
          <w:lang w:val="en-US" w:eastAsia="zh-CN"/>
        </w:rPr>
      </w:pPr>
      <w:r>
        <w:rPr>
          <w:rFonts w:hint="eastAsia" w:ascii="宋体" w:hAnsi="宋体"/>
          <w:color w:val="auto"/>
          <w:sz w:val="24"/>
          <w:highlight w:val="none"/>
        </w:rPr>
        <w:t xml:space="preserve">甲方（全称）：</w:t>
      </w:r>
      <w:r>
        <w:rPr>
          <w:rFonts w:hint="eastAsia" w:ascii="宋体" w:hAnsi="宋体"/>
          <w:color w:val="auto"/>
          <w:sz w:val="24"/>
          <w:highlight w:val="none"/>
          <w:lang w:val="en-US" w:eastAsia="zh-CN"/>
        </w:rPr>
        <w:t xml:space="preserve">盐城市第三人民医院</w:t>
      </w:r>
      <w:r/>
    </w:p>
    <w:p>
      <w:pPr>
        <w:spacing w:line="360" w:lineRule="auto"/>
        <w:rPr>
          <w:rFonts w:ascii="宋体" w:hAnsi="宋体"/>
          <w:color w:val="auto"/>
          <w:sz w:val="24"/>
          <w:highlight w:val="none"/>
        </w:rPr>
      </w:pPr>
      <w:r>
        <w:rPr>
          <w:rFonts w:hint="eastAsia" w:ascii="宋体" w:hAnsi="宋体"/>
          <w:color w:val="auto"/>
          <w:sz w:val="24"/>
          <w:highlight w:val="none"/>
        </w:rPr>
        <w:t xml:space="preserve">乙方（全称）：</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依据《中华人民共和国民法典</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项目信息</w:t>
      </w:r>
      <w:r/>
    </w:p>
    <w:p>
      <w:pPr>
        <w:numPr>
          <w:ilvl w:val="0"/>
          <w:numId w:val="3"/>
        </w:num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采购项目名称：</w:t>
      </w:r>
      <w:r>
        <w:rPr>
          <w:rFonts w:hint="eastAsia" w:ascii="宋体" w:hAnsi="宋体"/>
          <w:color w:val="auto"/>
          <w:sz w:val="24"/>
          <w:highlight w:val="none"/>
          <w:lang w:val="en-US" w:eastAsia="zh-CN"/>
        </w:rPr>
        <w:t xml:space="preserve">盐城市第三人民医院二期附属大数据机房及肝脏健康大数据数智底座建设项目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（2）采购计划编号：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（3）项目内容：</w:t>
      </w:r>
      <w:r>
        <w:rPr>
          <w:rFonts w:hint="eastAsia" w:ascii="宋体" w:hAnsi="宋体" w:eastAsia="宋体" w:cs="宋体"/>
          <w:b w:val="0"/>
          <w:bCs/>
          <w:color w:val="auto"/>
          <w:sz w:val="24"/>
          <w:szCs w:val="21"/>
          <w:highlight w:val="none"/>
          <w:lang w:val="en-US" w:eastAsia="zh-CN"/>
        </w:rPr>
        <w:t xml:space="preserve">本次建设内容为大数据中心的信息基础设施建设，包括超融合平台系统、网络及安全系统、大数据机</w:t>
      </w:r>
      <w:r>
        <w:rPr>
          <w:rFonts w:hint="eastAsia" w:ascii="宋体" w:hAnsi="宋体" w:eastAsia="宋体" w:cs="宋体"/>
          <w:b w:val="0"/>
          <w:bCs/>
          <w:color w:val="auto"/>
          <w:sz w:val="24"/>
          <w:szCs w:val="24"/>
          <w:highlight w:val="none"/>
          <w:lang w:val="en-US" w:eastAsia="zh-CN"/>
        </w:rPr>
        <w:t xml:space="preserve">房建设、监控室建设、数字运维管理平台系统、数据中心搬迁等</w:t>
      </w:r>
      <w:r>
        <w:rPr>
          <w:rFonts w:hint="eastAsia" w:ascii="宋体" w:hAnsi="宋体" w:eastAsia="宋体" w:cs="宋体"/>
          <w:color w:val="auto"/>
          <w:sz w:val="24"/>
          <w:szCs w:val="24"/>
          <w:highlight w:val="none"/>
          <w:lang w:val="en-US" w:eastAsia="zh-CN"/>
        </w:rPr>
        <w:t xml:space="preserve">。</w:t>
      </w:r>
      <w:r/>
    </w:p>
    <w:p>
      <w:pPr>
        <w:numPr>
          <w:ilvl w:val="255"/>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品牌：</w:t>
      </w:r>
      <w:r/>
    </w:p>
    <w:p>
      <w:pPr>
        <w:numPr>
          <w:ilvl w:val="255"/>
          <w:numId w:val="0"/>
        </w:numPr>
        <w:ind w:firstLine="480"/>
        <w:spacing w:line="360" w:lineRule="auto"/>
        <w:rPr>
          <w:rFonts w:hint="default" w:ascii="宋体" w:hAnsi="宋体" w:cs="宋体" w:eastAsiaTheme="minorEastAsia"/>
          <w:color w:val="auto"/>
          <w:sz w:val="24"/>
          <w:highlight w:val="none"/>
          <w:lang w:val="en-US" w:eastAsia="zh-CN"/>
        </w:rPr>
      </w:pPr>
      <w:r>
        <w:rPr>
          <w:rFonts w:hint="eastAsia" w:ascii="宋体" w:hAnsi="宋体" w:cs="宋体"/>
          <w:color w:val="auto"/>
          <w:sz w:val="24"/>
          <w:highlight w:val="none"/>
        </w:rPr>
        <w:t xml:space="preserve">规格型号：</w:t>
      </w:r>
      <w:r>
        <w:rPr>
          <w:rFonts w:hint="eastAsia" w:ascii="宋体" w:hAnsi="宋体" w:cs="宋体"/>
          <w:color w:val="auto"/>
          <w:sz w:val="24"/>
          <w:highlight w:val="none"/>
          <w:lang w:val="en-US" w:eastAsia="zh-CN"/>
        </w:rPr>
        <w:t xml:space="preserve">详见招标文件</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采购标的的技术要求、商务要求具体见附件。</w:t>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①涉及信息类产品，请填写该产品关键部件的品牌、型号：</w:t>
      </w:r>
      <w:r/>
    </w:p>
    <w:p>
      <w:pPr>
        <w:numPr>
          <w:ilvl w:val="255"/>
          <w:numId w:val="0"/>
        </w:num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标的名称：</w:t>
      </w:r>
      <w:r/>
    </w:p>
    <w:p>
      <w:pPr>
        <w:ind w:firstLine="480"/>
        <w:spacing w:line="400" w:lineRule="exact"/>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2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关键部件</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27"/>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4</w:t>
      </w:r>
      <w:r>
        <w:rPr>
          <w:rFonts w:hint="eastAsia" w:ascii="宋体" w:hAnsi="宋体" w:cs="宋体"/>
          <w:color w:val="auto"/>
          <w:sz w:val="24"/>
          <w:highlight w:val="none"/>
        </w:rPr>
        <w:t xml:space="preserve">）政府采购组织形式：</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政府集中采购</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分散采购</w:t>
      </w:r>
      <w:r/>
    </w:p>
    <w:p>
      <w:pPr>
        <w:numPr>
          <w:ilvl w:val="255"/>
          <w:numId w:val="0"/>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）政府采购方式：</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公开招标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邀请招标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竞争性谈判</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竞争性磋商</w:t>
      </w:r>
      <w:r/>
    </w:p>
    <w:p>
      <w:pPr>
        <w:numPr>
          <w:ilvl w:val="255"/>
          <w:numId w:val="0"/>
        </w:numPr>
        <w:ind w:firstLine="420"/>
        <w:jc w:val="left"/>
        <w:spacing w:line="360" w:lineRule="auto"/>
        <w:widowControl/>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询价</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单一来源</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框架协议</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其他：</w:t>
      </w:r>
      <w:r/>
    </w:p>
    <w:p>
      <w:pPr>
        <w:numPr>
          <w:ilvl w:val="255"/>
          <w:numId w:val="0"/>
        </w:num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（注：在框架协议采购的第二阶段，可选择使用该合同文本）</w:t>
      </w:r>
      <w:r/>
    </w:p>
    <w:p>
      <w:pPr>
        <w:numPr>
          <w:ilvl w:val="255"/>
          <w:numId w:val="0"/>
        </w:numPr>
        <w:ind w:firstLine="240"/>
        <w:jc w:val="left"/>
        <w:spacing w:line="360" w:lineRule="auto"/>
        <w:widowControl/>
        <w:rPr>
          <w:rFonts w:ascii="宋体" w:hAnsi="宋体"/>
          <w:color w:val="auto"/>
          <w:sz w:val="24"/>
          <w:highlight w:val="none"/>
        </w:rPr>
      </w:pPr>
      <w:r>
        <w:rPr>
          <w:rFonts w:hint="eastAsia" w:ascii="宋体" w:hAnsi="宋体" w:eastAsia="华文楷体" w:cs="华文楷体"/>
          <w:color w:val="auto"/>
          <w:sz w:val="24"/>
          <w:highlight w:val="none"/>
        </w:rPr>
        <w:t xml:space="preserve"> （</w:t>
      </w:r>
      <w:r>
        <w:rPr>
          <w:rFonts w:ascii="宋体" w:hAnsi="宋体" w:eastAsia="华文楷体" w:cs="华文楷体"/>
          <w:color w:val="auto"/>
          <w:sz w:val="24"/>
          <w:highlight w:val="none"/>
        </w:rPr>
        <w:t xml:space="preserve">6</w:t>
      </w:r>
      <w:r>
        <w:rPr>
          <w:rFonts w:hint="eastAsia" w:ascii="宋体" w:hAnsi="宋体" w:eastAsia="华文楷体" w:cs="华文楷体"/>
          <w:color w:val="auto"/>
          <w:sz w:val="24"/>
          <w:highlight w:val="none"/>
        </w:rPr>
        <w:t xml:space="preserve">）</w:t>
      </w:r>
      <w:r>
        <w:rPr>
          <w:rFonts w:hint="eastAsia" w:ascii="宋体" w:hAnsi="宋体"/>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ascii="宋体" w:hAnsi="宋体"/>
          <w:color w:val="auto"/>
          <w:sz w:val="24"/>
          <w:highlight w:val="none"/>
        </w:rPr>
        <w:t xml:space="preserve"> 本合同是否为专门面向中小企业的采购合同（中小企业预留合同）：</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若本项目不专门面向中小企业采购，是否给予小微企业评审优惠：</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中标（成交）采购标的制造商是否为残疾人福利性单位：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spacing w:line="360" w:lineRule="auto"/>
        <w:rPr>
          <w:color w:val="auto"/>
          <w:sz w:val="24"/>
          <w:highlight w:val="none"/>
        </w:rPr>
      </w:pPr>
      <w:r>
        <w:rPr>
          <w:rFonts w:hint="eastAsia"/>
          <w:color w:val="auto"/>
          <w:sz w:val="24"/>
          <w:highlight w:val="none"/>
        </w:rPr>
        <w:t xml:space="preserve"> 中标（成交）采购标的制造商是否为监狱企业：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）合同是否分包：</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分包主要内容：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分包供应商/制造商名称（如供应商和制造商不同，请分别填写）：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分包供应商/制造商类型（如果供应商和制造商不同，只填写制造商类型）：</w:t>
      </w:r>
      <w:r/>
    </w:p>
    <w:p>
      <w:pPr>
        <w:ind w:firstLine="480"/>
        <w:spacing w:line="360" w:lineRule="auto"/>
        <w:rPr>
          <w:rFonts w:ascii="宋体" w:hAnsi="宋体"/>
          <w:iCs/>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大型企业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中型企业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小微型企业</w:t>
      </w:r>
      <w:r/>
    </w:p>
    <w:p>
      <w:pPr>
        <w:ind w:firstLine="480"/>
        <w:spacing w:line="360" w:lineRule="auto"/>
        <w:rPr>
          <w:rFonts w:eastAsia="华文楷体"/>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其他</w:t>
      </w:r>
      <w:r/>
    </w:p>
    <w:p>
      <w:pPr>
        <w:numPr>
          <w:ilvl w:val="255"/>
          <w:numId w:val="0"/>
        </w:num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）中标（成交）供应商是否为外商投资企业：</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否</w:t>
      </w:r>
      <w:r/>
    </w:p>
    <w:p>
      <w:pPr>
        <w:ind w:firstLine="480"/>
        <w:jc w:val="left"/>
        <w:spacing w:line="360" w:lineRule="auto"/>
        <w:widowControl/>
        <w:tabs>
          <w:tab w:val="left" w:pos="1340" w:leader="none"/>
        </w:tabs>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 xml:space="preserve"></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部分由外国投资者投资</w:t>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）是否涉及进口产品：</w:t>
      </w:r>
      <w:r/>
    </w:p>
    <w:p>
      <w:pPr>
        <w:numPr>
          <w:ilvl w:val="255"/>
          <w:numId w:val="0"/>
        </w:numPr>
        <w:ind w:firstLine="720"/>
        <w:spacing w:line="360" w:lineRule="auto"/>
        <w:rPr>
          <w:rFonts w:hint="eastAsia"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是，《政府采购品目分类目录》底级品目名称：金额：</w:t>
      </w:r>
      <w:r/>
    </w:p>
    <w:p>
      <w:pPr>
        <w:numPr>
          <w:ilvl w:val="255"/>
          <w:numId w:val="0"/>
        </w:numPr>
        <w:ind w:firstLine="720"/>
        <w:spacing w:line="360" w:lineRule="auto"/>
        <w:rPr>
          <w:rFonts w:ascii="宋体" w:hAnsi="宋体"/>
          <w:color w:val="auto"/>
          <w:sz w:val="24"/>
          <w:highlight w:val="none"/>
        </w:rPr>
      </w:pPr>
      <w:r>
        <w:rPr>
          <w:rFonts w:hint="eastAsia" w:ascii="宋体" w:hAnsi="宋体" w:cs="宋体"/>
          <w:color w:val="auto"/>
          <w:sz w:val="24"/>
          <w:highlight w:val="none"/>
        </w:rPr>
        <w:t xml:space="preserve">国别：</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品牌： 规格型号：</w:t>
      </w:r>
      <w:r/>
    </w:p>
    <w:p>
      <w:pPr>
        <w:ind w:firstLine="72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否</w:t>
      </w:r>
      <w:r/>
    </w:p>
    <w:p>
      <w:pPr>
        <w:numPr>
          <w:ilvl w:val="255"/>
          <w:numId w:val="0"/>
        </w:numPr>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p>
    <w:p>
      <w:pPr>
        <w:numPr>
          <w:ilvl w:val="255"/>
          <w:numId w:val="0"/>
        </w:numPr>
        <w:ind w:firstLine="720"/>
        <w:spacing w:line="360" w:lineRule="auto"/>
        <w:tabs>
          <w:tab w:val="left" w:pos="740" w:leader="none"/>
        </w:tabs>
        <w:rPr>
          <w:rFonts w:hint="eastAsia" w:ascii="宋体" w:hAnsi="宋体"/>
          <w:color w:val="auto"/>
          <w:sz w:val="24"/>
          <w:highlight w:val="none"/>
          <w:lang w:val="en-US" w:eastAsia="zh-CN"/>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是，《节能产品政府采购品目清单》的底级品目名称：</w:t>
      </w:r>
      <w:r>
        <w:rPr>
          <w:rFonts w:hint="eastAsia" w:ascii="宋体" w:hAnsi="宋体"/>
          <w:color w:val="auto"/>
          <w:sz w:val="24"/>
          <w:highlight w:val="none"/>
          <w:lang w:val="en-US" w:eastAsia="zh-CN"/>
        </w:rPr>
        <w:t xml:space="preserve">空调机组；</w:t>
      </w:r>
      <w:r/>
    </w:p>
    <w:p>
      <w:pPr>
        <w:numPr>
          <w:ilvl w:val="255"/>
          <w:numId w:val="0"/>
        </w:numPr>
        <w:ind w:firstLine="72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firstLine="72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firstLine="72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是否涉及环境标志产品：</w:t>
      </w:r>
      <w:r/>
    </w:p>
    <w:p>
      <w:pPr>
        <w:numPr>
          <w:ilvl w:val="255"/>
          <w:numId w:val="0"/>
        </w:numPr>
        <w:ind w:firstLine="720"/>
        <w:spacing w:line="360" w:lineRule="auto"/>
        <w:tabs>
          <w:tab w:val="left" w:pos="740" w:leader="none"/>
        </w:tabs>
        <w:rPr>
          <w:rFonts w:hint="default" w:ascii="宋体" w:hAnsi="宋体" w:eastAsiaTheme="minorEastAsia"/>
          <w:iCs/>
          <w:color w:val="auto"/>
          <w:sz w:val="24"/>
          <w:highlight w:val="none"/>
          <w:lang w:val="en-US" w:eastAsia="zh-CN"/>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是，《环境标志产品政府采购品目清单》的底级品目名称：</w:t>
      </w:r>
      <w:r>
        <w:rPr>
          <w:rFonts w:hint="eastAsia" w:ascii="宋体" w:hAnsi="宋体"/>
          <w:color w:val="auto"/>
          <w:sz w:val="24"/>
          <w:highlight w:val="none"/>
          <w:lang w:val="en-US" w:eastAsia="zh-CN"/>
        </w:rPr>
        <w:t xml:space="preserve">服务器；</w:t>
      </w:r>
      <w:r/>
    </w:p>
    <w:p>
      <w:pPr>
        <w:numPr>
          <w:ilvl w:val="255"/>
          <w:numId w:val="0"/>
        </w:numPr>
        <w:ind w:firstLine="72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firstLine="72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firstLine="72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是否涉及绿色产品：</w:t>
      </w:r>
      <w:r/>
    </w:p>
    <w:p>
      <w:pPr>
        <w:ind w:firstLine="72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是，绿色产品政府采购相关政策确定的底级品目名称：</w:t>
      </w:r>
      <w:r/>
    </w:p>
    <w:p>
      <w:pPr>
        <w:numPr>
          <w:ilvl w:val="255"/>
          <w:numId w:val="0"/>
        </w:numPr>
        <w:ind w:firstLine="72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ind w:firstLine="720"/>
        <w:jc w:val="left"/>
        <w:spacing w:line="360" w:lineRule="auto"/>
        <w:widowControl/>
        <w:rPr>
          <w:rFonts w:ascii="宋体" w:hAnsi="宋体" w:eastAsia="华文楷体" w:cs="华文楷体"/>
          <w:color w:val="auto"/>
          <w:sz w:val="24"/>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否</w:t>
      </w:r>
      <w:r/>
    </w:p>
    <w:p>
      <w:pPr>
        <w:numPr>
          <w:ilvl w:val="255"/>
          <w:numId w:val="0"/>
        </w:numPr>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1</w:t>
      </w:r>
      <w:r>
        <w:rPr>
          <w:rFonts w:hint="eastAsia" w:ascii="宋体" w:hAnsi="宋体"/>
          <w:color w:val="auto"/>
          <w:sz w:val="24"/>
          <w:highlight w:val="none"/>
        </w:rPr>
        <w:t xml:space="preserve">）涉及商品包装和快递包装的，是否参考《商品包装政府采购需求标准（试行）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快递包装政府采购需求标准（试行）》明确产品及相关快递服务的具体包装要求：</w:t>
      </w:r>
      <w:r/>
    </w:p>
    <w:p>
      <w:pPr>
        <w:numPr>
          <w:ilvl w:val="255"/>
          <w:numId w:val="0"/>
        </w:numPr>
        <w:ind w:firstLine="72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rFonts w:hint="eastAsia" w:ascii="宋体" w:hAnsi="宋体"/>
          <w:color w:val="auto"/>
          <w:sz w:val="24"/>
          <w:highlight w:val="none"/>
          <w:lang w:val="en-US" w:eastAsia="zh-CN"/>
        </w:rPr>
        <w:t xml:space="preserve"> </w:t>
      </w: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不涉及</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合同金额</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（1）合同金额小写：</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大写：</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分包金额（如有）小写：</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大写：</w:t>
      </w:r>
      <w:r/>
    </w:p>
    <w:p>
      <w:pPr>
        <w:ind w:firstLine="480"/>
        <w:jc w:val="both"/>
        <w:rPr>
          <w:rFonts w:ascii="宋体" w:hAnsi="宋体"/>
          <w:color w:val="auto"/>
          <w:sz w:val="24"/>
          <w:highlight w:val="none"/>
        </w:rPr>
      </w:pPr>
      <w:r>
        <w:rPr>
          <w:rFonts w:hint="eastAsia" w:ascii="宋体" w:hAnsi="宋体"/>
          <w:color w:val="auto"/>
          <w:sz w:val="24"/>
          <w:highlight w:val="none"/>
        </w:rPr>
        <w:t xml:space="preserve">（2）付款方式（按项目实际勾选填写，具体详见专用条款第二节第12.2款）：</w:t>
      </w:r>
      <w:r/>
    </w:p>
    <w:p>
      <w:pPr>
        <w:ind w:firstLine="72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全额付款：</w:t>
      </w:r>
      <w:r>
        <w:rPr>
          <w:rFonts w:hint="eastAsia" w:ascii="宋体" w:hAnsi="宋体"/>
          <w:color w:val="auto"/>
          <w:sz w:val="24"/>
          <w:szCs w:val="24"/>
          <w:highlight w:val="none"/>
          <w:u w:val="single"/>
        </w:rPr>
        <w:t xml:space="preserve">（应明确一次性支付合同款项的条件）                    </w:t>
      </w:r>
      <w:r/>
    </w:p>
    <w:p>
      <w:pPr>
        <w:ind w:firstLine="720"/>
        <w:spacing w:line="400" w:lineRule="exact"/>
        <w:rPr>
          <w:rFonts w:hint="eastAsia" w:ascii="宋体" w:hAnsi="宋体"/>
          <w:color w:val="auto"/>
          <w:sz w:val="24"/>
          <w:szCs w:val="24"/>
          <w:highlight w:val="none"/>
          <w:u w:val="single"/>
        </w:rPr>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分期付款：</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1.</w:t>
      </w:r>
      <w:r>
        <w:rPr>
          <w:rFonts w:hint="eastAsia" w:ascii="宋体" w:hAnsi="宋体"/>
          <w:color w:val="auto"/>
          <w:sz w:val="24"/>
          <w:szCs w:val="24"/>
          <w:highlight w:val="none"/>
          <w:u w:val="single"/>
        </w:rPr>
        <w:t xml:space="preserve"> 预付款支付时间：合同签订后，乙方提供预付款发票后10个工作日内，预付款支付比例：合同金额的30%。</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在签订合同时，中标、</w:t>
      </w:r>
      <w:r>
        <w:rPr>
          <w:rFonts w:hint="eastAsia" w:ascii="宋体" w:hAnsi="宋体"/>
          <w:color w:val="auto"/>
          <w:sz w:val="24"/>
          <w:szCs w:val="24"/>
          <w:highlight w:val="none"/>
          <w:u w:val="single"/>
          <w:lang w:val="en-US" w:eastAsia="zh-CN"/>
        </w:rPr>
        <w:t xml:space="preserve">成交供应商</w:t>
      </w:r>
      <w:r>
        <w:rPr>
          <w:rFonts w:hint="eastAsia" w:ascii="宋体" w:hAnsi="宋体"/>
          <w:color w:val="auto"/>
          <w:sz w:val="24"/>
          <w:szCs w:val="24"/>
          <w:highlight w:val="none"/>
          <w:u w:val="single"/>
        </w:rPr>
        <w:t xml:space="preserve">明确书面表示无需预付款或者主动要求降低预付款比例的，采购人可就预付款比例作相应调整。</w:t>
      </w:r>
      <w:r>
        <w:rPr>
          <w:rFonts w:hint="eastAsia" w:ascii="宋体" w:hAnsi="宋体"/>
          <w:color w:val="auto"/>
          <w:sz w:val="24"/>
          <w:szCs w:val="24"/>
          <w:highlight w:val="none"/>
          <w:u w:val="single"/>
          <w:lang w:eastAsia="zh-CN"/>
        </w:rPr>
        <w:t xml:space="preserve">）</w:t>
      </w:r>
      <w:r/>
    </w:p>
    <w:p>
      <w:pPr>
        <w:ind w:firstLine="720"/>
        <w:spacing w:line="40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lang w:val="en-US" w:eastAsia="zh-CN"/>
        </w:rPr>
        <w:t xml:space="preserve">2.</w:t>
      </w:r>
      <w:r>
        <w:rPr>
          <w:rFonts w:hint="eastAsia" w:ascii="宋体" w:hAnsi="宋体"/>
          <w:color w:val="auto"/>
          <w:sz w:val="24"/>
          <w:szCs w:val="24"/>
          <w:highlight w:val="none"/>
          <w:u w:val="single"/>
        </w:rPr>
        <w:t xml:space="preserve">尾款支付时间：</w:t>
      </w:r>
      <w:r>
        <w:rPr>
          <w:rFonts w:hint="eastAsia" w:ascii="宋体" w:hAnsi="宋体"/>
          <w:color w:val="auto"/>
          <w:sz w:val="24"/>
          <w:szCs w:val="24"/>
          <w:highlight w:val="none"/>
          <w:u w:val="single"/>
          <w:lang w:val="en-US" w:eastAsia="zh-CN"/>
        </w:rPr>
        <w:t xml:space="preserve">项目初验合格后付至合同总价款的70%（包括之前支付的预付款）；</w:t>
      </w:r>
      <w:r>
        <w:rPr>
          <w:rFonts w:hint="eastAsia" w:ascii="宋体" w:hAnsi="宋体"/>
          <w:color w:val="auto"/>
          <w:sz w:val="24"/>
          <w:szCs w:val="24"/>
          <w:highlight w:val="none"/>
          <w:u w:val="single"/>
        </w:rPr>
        <w:t xml:space="preserve">初验合格满一年后付至</w:t>
      </w:r>
      <w:r>
        <w:rPr>
          <w:rFonts w:hint="eastAsia" w:ascii="宋体" w:hAnsi="宋体"/>
          <w:color w:val="auto"/>
          <w:sz w:val="24"/>
          <w:szCs w:val="24"/>
          <w:highlight w:val="none"/>
          <w:u w:val="single"/>
          <w:lang w:val="en-US" w:eastAsia="zh-CN"/>
        </w:rPr>
        <w:t xml:space="preserve">合同总价款的</w:t>
      </w:r>
      <w:r>
        <w:rPr>
          <w:rFonts w:hint="eastAsia" w:ascii="宋体" w:hAnsi="宋体"/>
          <w:color w:val="auto"/>
          <w:sz w:val="24"/>
          <w:szCs w:val="24"/>
          <w:highlight w:val="none"/>
          <w:u w:val="single"/>
        </w:rPr>
        <w:t xml:space="preserve">90%，初验合格满</w:t>
      </w:r>
      <w:r>
        <w:rPr>
          <w:rFonts w:hint="eastAsia" w:ascii="宋体" w:hAnsi="宋体"/>
          <w:color w:val="auto"/>
          <w:sz w:val="24"/>
          <w:szCs w:val="24"/>
          <w:highlight w:val="none"/>
          <w:u w:val="single"/>
          <w:lang w:val="en-US" w:eastAsia="zh-CN"/>
        </w:rPr>
        <w:t xml:space="preserve">三</w:t>
      </w:r>
      <w:r>
        <w:rPr>
          <w:rFonts w:hint="eastAsia" w:ascii="宋体" w:hAnsi="宋体"/>
          <w:color w:val="auto"/>
          <w:sz w:val="24"/>
          <w:szCs w:val="24"/>
          <w:highlight w:val="none"/>
          <w:u w:val="single"/>
        </w:rPr>
        <w:t xml:space="preserve">年后</w:t>
      </w:r>
      <w:r>
        <w:rPr>
          <w:rFonts w:hint="eastAsia" w:ascii="宋体" w:hAnsi="宋体"/>
          <w:color w:val="auto"/>
          <w:sz w:val="24"/>
          <w:szCs w:val="24"/>
          <w:highlight w:val="none"/>
          <w:u w:val="single"/>
          <w:lang w:val="en-US" w:eastAsia="zh-CN"/>
        </w:rPr>
        <w:t xml:space="preserve">并经审核后</w:t>
      </w:r>
      <w:r>
        <w:rPr>
          <w:rFonts w:hint="eastAsia" w:ascii="宋体" w:hAnsi="宋体"/>
          <w:color w:val="auto"/>
          <w:sz w:val="24"/>
          <w:szCs w:val="24"/>
          <w:highlight w:val="none"/>
          <w:u w:val="single"/>
        </w:rPr>
        <w:t xml:space="preserve">进行系统终验，</w:t>
      </w:r>
      <w:r>
        <w:rPr>
          <w:rFonts w:hint="eastAsia" w:ascii="宋体" w:hAnsi="宋体"/>
          <w:color w:val="auto"/>
          <w:sz w:val="24"/>
          <w:szCs w:val="24"/>
          <w:highlight w:val="none"/>
          <w:u w:val="single"/>
          <w:lang w:val="en-US" w:eastAsia="zh-CN"/>
        </w:rPr>
        <w:t xml:space="preserve">终验</w:t>
      </w:r>
      <w:r>
        <w:rPr>
          <w:rFonts w:hint="eastAsia" w:ascii="宋体" w:hAnsi="宋体"/>
          <w:color w:val="auto"/>
          <w:sz w:val="24"/>
          <w:szCs w:val="24"/>
          <w:highlight w:val="none"/>
          <w:u w:val="single"/>
        </w:rPr>
        <w:t xml:space="preserve">合格后支付剩余款项。</w:t>
      </w:r>
      <w:r/>
    </w:p>
    <w:p>
      <w:pPr>
        <w:numPr>
          <w:ilvl w:val="0"/>
          <w:numId w:val="0"/>
        </w:numPr>
        <w:ind w:firstLine="480"/>
        <w:spacing w:line="40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注：以上付款均不计任何利息和相关费用，付款一律通过银行结转。每次付款前提是乙方已提供合法票据。</w:t>
      </w:r>
      <w:r/>
    </w:p>
    <w:p>
      <w:pPr>
        <w:ind w:firstLine="720"/>
        <w:spacing w:line="400" w:lineRule="exact"/>
        <w:rPr>
          <w:rFonts w:ascii="宋体" w:hAnsi="宋体"/>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成本补偿：</w:t>
      </w:r>
      <w:r>
        <w:rPr>
          <w:rFonts w:hint="eastAsia" w:ascii="宋体" w:hAnsi="宋体"/>
          <w:color w:val="auto"/>
          <w:sz w:val="24"/>
          <w:szCs w:val="24"/>
          <w:highlight w:val="none"/>
          <w:u w:val="single"/>
        </w:rPr>
        <w:t xml:space="preserve">  （应明确按照成本补偿方式的支付方式和支付条件）   </w:t>
      </w:r>
      <w:r/>
    </w:p>
    <w:p>
      <w:pPr>
        <w:ind w:firstLine="720"/>
        <w:spacing w:line="400" w:lineRule="exact"/>
        <w:rPr>
          <w:rFonts w:hint="eastAsia"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绩效激励：</w:t>
      </w:r>
      <w:r>
        <w:rPr>
          <w:rFonts w:hint="eastAsia" w:ascii="宋体" w:hAnsi="宋体"/>
          <w:color w:val="auto"/>
          <w:sz w:val="24"/>
          <w:szCs w:val="24"/>
          <w:highlight w:val="none"/>
          <w:u w:val="single"/>
        </w:rPr>
        <w:t xml:space="preserve">  （应明确按照绩效激励方式的支付方式和支付条件）   </w:t>
      </w:r>
      <w:r/>
    </w:p>
    <w:p>
      <w:pPr>
        <w:numPr>
          <w:ilvl w:val="0"/>
          <w:numId w:val="2"/>
        </w:numPr>
        <w:ind w:firstLine="482"/>
        <w:spacing w:line="360" w:lineRule="auto"/>
        <w:rPr>
          <w:rFonts w:ascii="宋体" w:hAnsi="宋体"/>
          <w:b/>
          <w:color w:val="auto"/>
          <w:sz w:val="24"/>
          <w:highlight w:val="none"/>
          <w:u w:val="single"/>
        </w:rPr>
      </w:pPr>
      <w:r>
        <w:rPr>
          <w:rFonts w:hint="eastAsia" w:ascii="宋体" w:hAnsi="宋体"/>
          <w:b/>
          <w:color w:val="auto"/>
          <w:sz w:val="24"/>
          <w:highlight w:val="none"/>
        </w:rPr>
        <w:t xml:space="preserve">合同履行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（1）起始日期：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日，完成日期：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0"/>
          <w:highlight w:val="none"/>
          <w:u w:val="none"/>
        </w:rPr>
        <w:t xml:space="preserve">自</w:t>
      </w:r>
      <w:r>
        <w:rPr>
          <w:rFonts w:hint="eastAsia" w:ascii="宋体" w:hAnsi="宋体" w:eastAsia="宋体" w:cs="宋体"/>
          <w:color w:val="auto"/>
          <w:sz w:val="24"/>
          <w:szCs w:val="20"/>
          <w:highlight w:val="none"/>
          <w:u w:val="none"/>
          <w:lang w:val="en-US" w:eastAsia="zh-CN"/>
        </w:rPr>
        <w:t xml:space="preserve">签订合同后3个月内</w:t>
      </w:r>
      <w:r>
        <w:rPr>
          <w:rFonts w:hint="eastAsia" w:ascii="宋体" w:hAnsi="宋体" w:eastAsia="宋体" w:cs="Times New Roman"/>
          <w:color w:val="auto"/>
          <w:sz w:val="24"/>
          <w:szCs w:val="24"/>
          <w:highlight w:val="none"/>
          <w:lang w:val="en-US" w:eastAsia="zh-CN" w:bidi="ar-SA"/>
        </w:rPr>
        <w:t xml:space="preserve">（以甲方发出的开工通知时间为准）</w:t>
      </w:r>
      <w:r>
        <w:rPr>
          <w:rFonts w:hint="eastAsia" w:ascii="宋体" w:hAnsi="宋体" w:eastAsia="宋体" w:cs="宋体"/>
          <w:color w:val="auto"/>
          <w:sz w:val="24"/>
          <w:szCs w:val="20"/>
          <w:highlight w:val="none"/>
          <w:u w:val="none"/>
          <w:lang w:val="en-US" w:eastAsia="zh-CN"/>
        </w:rPr>
        <w:t xml:space="preserve">供货到采购人指定地点完成安装、调试工作，并经甲方（或委托有资质的第三方）验收合格)</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（2）履约地点</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lang w:val="en-US" w:eastAsia="zh-CN"/>
        </w:rPr>
        <w:t xml:space="preserve">盐城市新都西路2号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履约担保：履约担保：是否收取履约保证金：</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收取履约保证金形式：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1.</w:t>
      </w:r>
      <w:r>
        <w:rPr>
          <w:rFonts w:hint="eastAsia" w:ascii="宋体" w:hAnsi="宋体" w:cs="宋体"/>
          <w:bCs/>
          <w:color w:val="auto"/>
          <w:sz w:val="24"/>
          <w:highlight w:val="none"/>
          <w:u w:val="single"/>
        </w:rPr>
        <w:t xml:space="preserve">乙方应当以支票、汇票、本票或者金融机构、担保机构出具的保函等非现金形式提交履约保证金。依据《关于在全省政府采购领域推行电子履约保函（保险）的通知》，鼓励供应商自愿使用电子履约保函（保险）代替缴纳履约保证金。 </w:t>
      </w:r>
      <w:r>
        <w:rPr>
          <w:rFonts w:hint="eastAsia" w:ascii="宋体" w:hAnsi="宋体" w:cs="宋体"/>
          <w:bCs/>
          <w:color w:val="auto"/>
          <w:sz w:val="24"/>
          <w:highlight w:val="none"/>
          <w:u w:val="single"/>
          <w:lang w:val="en-US" w:eastAsia="zh-CN"/>
        </w:rPr>
        <w:t xml:space="preserve">2.</w:t>
      </w:r>
      <w:r>
        <w:rPr>
          <w:rFonts w:hint="eastAsia" w:ascii="宋体" w:hAnsi="宋体" w:cs="宋体"/>
          <w:bCs/>
          <w:color w:val="auto"/>
          <w:sz w:val="24"/>
          <w:highlight w:val="none"/>
          <w:u w:val="single"/>
        </w:rPr>
        <w:t xml:space="preserve">如以履约保函（保险）形式缴纳履约保证金，乙方可通过政府采购电子履约保函（保险）平台（www.jsdzbh.com）在线申请履约保函（保险）。</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收取履约保证金金额：</w:t>
      </w:r>
      <w:r>
        <w:rPr>
          <w:rFonts w:hint="eastAsia" w:asciiTheme="minorEastAsia" w:hAnsiTheme="minorEastAsia" w:cstheme="minorEastAsia"/>
          <w:color w:val="auto"/>
          <w:sz w:val="24"/>
          <w:szCs w:val="20"/>
          <w:highlight w:val="none"/>
          <w:u w:val="single"/>
        </w:rPr>
        <w:t xml:space="preserve">履约保证金金额为合同金额的10%，采购人应当对AA评级及以上政府采购供应商（需提供信用管理部门备案的第三方信用报告）</w:t>
      </w:r>
      <w:r>
        <w:rPr>
          <w:rFonts w:hint="eastAsia" w:asciiTheme="minorEastAsia" w:hAnsiTheme="minorEastAsia" w:cstheme="minorEastAsia"/>
          <w:b/>
          <w:bCs/>
          <w:color w:val="auto"/>
          <w:sz w:val="24"/>
          <w:szCs w:val="20"/>
          <w:highlight w:val="none"/>
          <w:u w:val="single"/>
          <w:lang w:val="en-US" w:eastAsia="zh-CN"/>
        </w:rPr>
        <w:t xml:space="preserve">减</w:t>
      </w:r>
      <w:r>
        <w:rPr>
          <w:rFonts w:hint="eastAsia" w:asciiTheme="minorEastAsia" w:hAnsiTheme="minorEastAsia" w:cstheme="minorEastAsia"/>
          <w:b/>
          <w:bCs/>
          <w:color w:val="auto"/>
          <w:sz w:val="24"/>
          <w:szCs w:val="20"/>
          <w:highlight w:val="none"/>
          <w:u w:val="single"/>
        </w:rPr>
        <w:t xml:space="preserve">收履约保证金</w:t>
      </w:r>
      <w:r>
        <w:rPr>
          <w:rFonts w:hint="eastAsia" w:asciiTheme="minorEastAsia" w:hAnsiTheme="minorEastAsia" w:cstheme="minorEastAsia"/>
          <w:b/>
          <w:bCs/>
          <w:color w:val="auto"/>
          <w:sz w:val="24"/>
          <w:szCs w:val="20"/>
          <w:highlight w:val="none"/>
          <w:u w:val="single"/>
          <w:lang w:eastAsia="zh-CN"/>
        </w:rPr>
        <w:t xml:space="preserve">，</w:t>
      </w:r>
      <w:r>
        <w:rPr>
          <w:rFonts w:hint="eastAsia" w:asciiTheme="minorEastAsia" w:hAnsiTheme="minorEastAsia" w:cstheme="minorEastAsia"/>
          <w:b/>
          <w:bCs/>
          <w:color w:val="auto"/>
          <w:sz w:val="24"/>
          <w:szCs w:val="20"/>
          <w:highlight w:val="none"/>
          <w:u w:val="single"/>
          <w:lang w:val="en-US" w:eastAsia="zh-CN"/>
        </w:rPr>
        <w:t xml:space="preserve">按合同金额的5%收取</w:t>
      </w:r>
      <w:r>
        <w:rPr>
          <w:rFonts w:hint="eastAsia" w:asciiTheme="minorEastAsia" w:hAnsiTheme="minorEastAsia" w:cstheme="minorEastAsia"/>
          <w:color w:val="auto"/>
          <w:sz w:val="24"/>
          <w:szCs w:val="20"/>
          <w:highlight w:val="none"/>
          <w:u w:val="singl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p>
    <w:p>
      <w:pPr>
        <w:ind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履约担保期限：</w:t>
      </w:r>
      <w:r>
        <w:rPr>
          <w:rFonts w:hint="eastAsia" w:ascii="宋体" w:hAnsi="宋体" w:cs="宋体"/>
          <w:color w:val="auto"/>
          <w:sz w:val="24"/>
          <w:highlight w:val="none"/>
          <w:u w:val="single"/>
        </w:rPr>
        <w:t xml:space="preserve"> 合同履行结束后，甲方应及时退还交纳的履约保证金。</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合同验收</w:t>
      </w:r>
      <w:r/>
    </w:p>
    <w:p>
      <w:pPr>
        <w:numPr>
          <w:ilvl w:val="0"/>
          <w:numId w:val="4"/>
        </w:num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验收组织方式：</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委托第三方组织</w:t>
      </w:r>
      <w:r/>
    </w:p>
    <w:p>
      <w:pPr>
        <w:ind w:firstLine="960"/>
        <w:spacing w:line="360" w:lineRule="auto"/>
        <w:rPr>
          <w:rFonts w:ascii="宋体" w:hAnsi="宋体" w:cs="宋体"/>
          <w:color w:val="auto"/>
          <w:sz w:val="24"/>
          <w:highlight w:val="none"/>
        </w:rPr>
      </w:pPr>
      <w:r>
        <w:rPr>
          <w:rFonts w:hint="eastAsia" w:ascii="宋体" w:hAnsi="宋体"/>
          <w:bCs/>
          <w:color w:val="auto"/>
          <w:sz w:val="24"/>
          <w:highlight w:val="none"/>
        </w:rPr>
        <w:t xml:space="preserve">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是否邀请专家参加验收：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rPr>
      </w:pPr>
      <w:r>
        <w:rPr>
          <w:rFonts w:hint="eastAsia" w:ascii="宋体" w:hAnsi="宋体"/>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是，抽查比例：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w:t>
      </w:r>
      <w:r>
        <w:rPr>
          <w:rFonts w:hint="eastAsia" w:ascii="宋体" w:hAnsi="宋体"/>
          <w:bCs/>
          <w:color w:val="auto"/>
          <w:sz w:val="24"/>
          <w:highlight w:val="none"/>
          <w:u w:val="single"/>
        </w:rPr>
        <w:t xml:space="preserve">（应明确对被破坏的检测产品的处理方式）</w:t>
      </w:r>
      <w:r/>
    </w:p>
    <w:p>
      <w:pPr>
        <w:ind w:firstLine="960"/>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p>
    <w:p>
      <w:pPr>
        <w:ind w:firstLine="96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验收组织的其他事项：</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（2）履约验收时间：</w:t>
      </w:r>
      <w:r>
        <w:rPr>
          <w:rFonts w:hint="eastAsia" w:ascii="宋体" w:hAnsi="宋体"/>
          <w:bCs/>
          <w:color w:val="auto"/>
          <w:sz w:val="24"/>
          <w:highlight w:val="none"/>
          <w:u w:val="single"/>
        </w:rPr>
        <w:t xml:space="preserve">（供应商提出验收申请之日起</w:t>
      </w:r>
      <w:r>
        <w:rPr>
          <w:rFonts w:hint="eastAsia" w:ascii="宋体" w:hAnsi="宋体"/>
          <w:bCs/>
          <w:color w:val="auto"/>
          <w:sz w:val="24"/>
          <w:highlight w:val="none"/>
          <w:u w:val="single"/>
          <w:lang w:val="en-US" w:eastAsia="zh-CN"/>
        </w:rPr>
        <w:t xml:space="preserve">7</w:t>
      </w:r>
      <w:r>
        <w:rPr>
          <w:rFonts w:hint="eastAsia" w:ascii="宋体" w:hAnsi="宋体"/>
          <w:bCs/>
          <w:color w:val="auto"/>
          <w:sz w:val="24"/>
          <w:highlight w:val="none"/>
          <w:u w:val="single"/>
        </w:rPr>
        <w:t xml:space="preserve">日内组织验收）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（3）履约验收方式：</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一次性验收         </w:t>
      </w:r>
      <w:r/>
    </w:p>
    <w:p>
      <w:pPr>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分期/分项验收：</w:t>
      </w:r>
      <w:r>
        <w:rPr>
          <w:rFonts w:hint="eastAsia" w:ascii="宋体" w:hAnsi="宋体"/>
          <w:bCs/>
          <w:color w:val="auto"/>
          <w:sz w:val="24"/>
          <w:highlight w:val="none"/>
          <w:u w:val="single"/>
        </w:rPr>
        <w:t xml:space="preserve">（应明确分期</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分项验收的工作安排）</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（4）履约验收程序：</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（5）履约验收的内容：</w:t>
      </w:r>
      <w:r>
        <w:rPr>
          <w:rFonts w:hint="eastAsia" w:ascii="宋体" w:hAnsi="宋体"/>
          <w:bCs/>
          <w:color w:val="auto"/>
          <w:sz w:val="24"/>
          <w:highlight w:val="none"/>
          <w:u w:val="single"/>
        </w:rPr>
        <w:t xml:space="preserve">（应当包括每一项技术和商务要求的履约情况，特别是落实政府采购扶持中小企业，支持绿色发展和乡村振兴等政策情况）</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（6）履约验收标准：</w:t>
      </w:r>
      <w:r/>
    </w:p>
    <w:p>
      <w:pPr>
        <w:ind w:firstLine="480"/>
        <w:jc w:val="left"/>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ascii="宋体" w:hAnsi="宋体" w:cs="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s="宋体"/>
          <w:bCs/>
          <w:color w:val="auto"/>
          <w:sz w:val="24"/>
          <w:highlight w:val="none"/>
        </w:rPr>
        <w:t xml:space="preserve">否</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（8）履约验收其他事项：</w:t>
      </w:r>
      <w:r>
        <w:rPr>
          <w:rFonts w:hint="eastAsia" w:ascii="宋体" w:hAnsi="宋体" w:cs="宋体"/>
          <w:bCs/>
          <w:color w:val="auto"/>
          <w:sz w:val="24"/>
          <w:highlight w:val="none"/>
          <w:u w:val="single"/>
        </w:rPr>
        <w:t xml:space="preserve">（产权过户登记等）</w:t>
      </w:r>
      <w:r/>
    </w:p>
    <w:p>
      <w:pPr>
        <w:numPr>
          <w:ilvl w:val="0"/>
          <w:numId w:val="2"/>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6.合同生效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本合同自</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日生效。</w:t>
      </w:r>
      <w:r/>
    </w:p>
    <w:p>
      <w:pPr>
        <w:ind w:left="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7.合同份数</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拾</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份，均具有同等法律效力。</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盐城市第三人民医院</w:t>
      </w:r>
      <w:r>
        <w:rPr>
          <w:rFonts w:hint="eastAsia" w:ascii="宋体" w:hAnsi="宋体"/>
          <w:color w:val="auto"/>
          <w:sz w:val="24"/>
          <w:szCs w:val="24"/>
          <w:highlight w:val="none"/>
          <w:u w:val="single"/>
        </w:rPr>
        <w:t xml:space="preserve"> </w:t>
      </w:r>
      <w:r/>
    </w:p>
    <w:tbl>
      <w:tblPr>
        <w:tblStyle w:val="914"/>
        <w:tblpPr w:horzAnchor="page" w:tblpX="2175" w:vertAnchor="text" w:tblpY="429" w:leftFromText="180" w:topFromText="0" w:rightFromText="180" w:bottomFromText="0"/>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spacing w:line="36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w:t>
            </w:r>
            <w:r>
              <w:rPr>
                <w:rFonts w:hint="eastAsia"/>
                <w:color w:val="auto"/>
                <w:sz w:val="24"/>
                <w:highlight w:val="none"/>
              </w:rPr>
              <w:t xml:space="preserve">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spacing w:line="36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cantSplit/>
          <w:trHeight w:val="1171"/>
        </w:trPr>
        <w:tc>
          <w:tcPr>
            <w:tcBorders>
              <w:top w:val="single" w:color="000000" w:sz="2" w:space="0"/>
              <w:right w:val="single" w:color="000000" w:sz="2" w:space="0"/>
            </w:tcBorders>
            <w:tcW w:w="1941" w:type="dxa"/>
            <w:vAlign w:val="center"/>
            <w:vMerge w:val="restart"/>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ind w:firstLine="115"/>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right w:val="single" w:color="000000" w:sz="2" w:space="0"/>
            </w:tcBorders>
            <w:tcW w:w="2357" w:type="dxa"/>
            <w:vAlign w:val="center"/>
            <w:vMerge w:val="restart"/>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cantSplit/>
          <w:trHeight w:val="483"/>
        </w:trPr>
        <w:tc>
          <w:tcPr>
            <w:tcBorders>
              <w:bottom w:val="single" w:color="000000" w:sz="2" w:space="0"/>
              <w:right w:val="single" w:color="000000" w:sz="2" w:space="0"/>
            </w:tcBorders>
            <w:tcW w:w="1941"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357"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开户名称</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开户银行</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194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57"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026" w:type="dxa"/>
            <w:vAlign w:val="center"/>
            <w:textDirection w:val="lrTb"/>
            <w:noWrap w:val="false"/>
          </w:tcPr>
          <w:p>
            <w:pPr>
              <w:jc w:val="center"/>
              <w:spacing w:line="360" w:lineRule="auto"/>
              <w:rPr>
                <w:color w:val="auto"/>
                <w:sz w:val="24"/>
                <w:highlight w:val="none"/>
              </w:rPr>
            </w:pPr>
            <w:r>
              <w:rPr>
                <w:color w:val="auto"/>
                <w:sz w:val="24"/>
                <w:highlight w:val="none"/>
              </w:rPr>
              <w:t xml:space="preserve">银行账号</w:t>
            </w:r>
            <w:r/>
          </w:p>
        </w:tc>
        <w:tc>
          <w:tcPr>
            <w:tcBorders>
              <w:top w:val="single" w:color="000000" w:sz="2" w:space="0"/>
              <w:left w:val="single" w:color="000000" w:sz="2" w:space="0"/>
              <w:bottom w:val="single" w:color="000000" w:sz="2" w:space="0"/>
            </w:tcBorders>
            <w:tcW w:w="2074"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586"/>
        </w:trPr>
        <w:tc>
          <w:tcPr>
            <w:gridSpan w:val="4"/>
            <w:tcBorders>
              <w:top w:val="single" w:color="000000" w:sz="2" w:space="0"/>
            </w:tcBorders>
            <w:tcW w:w="8398" w:type="dxa"/>
            <w:vAlign w:val="center"/>
            <w:textDirection w:val="lrTb"/>
            <w:noWrap w:val="false"/>
          </w:tcPr>
          <w:p>
            <w:pPr>
              <w:jc w:val="left"/>
              <w:spacing w:line="36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ind w:firstLine="420"/>
        <w:spacing w:line="360" w:lineRule="auto"/>
        <w:rPr>
          <w:color w:val="auto"/>
          <w:szCs w:val="21"/>
          <w:highlight w:val="none"/>
        </w:rPr>
      </w:pPr>
      <w:r>
        <w:rPr>
          <w:color w:val="auto"/>
          <w:szCs w:val="21"/>
          <w:highlight w:val="none"/>
        </w:rPr>
      </w:r>
      <w:r/>
    </w:p>
    <w:p>
      <w:pPr>
        <w:pStyle w:val="912"/>
        <w:jc w:val="center"/>
        <w:spacing w:before="156"/>
        <w:rPr>
          <w:rFonts w:ascii="黑体" w:hAnsi="黑体" w:eastAsia="黑体"/>
          <w:color w:val="auto"/>
          <w:sz w:val="28"/>
          <w:szCs w:val="28"/>
          <w:highlight w:val="none"/>
        </w:rPr>
      </w:pPr>
      <w:r>
        <w:rPr>
          <w:rFonts w:ascii="宋体" w:hAnsi="宋体"/>
          <w:color w:val="auto"/>
          <w:highlight w:val="none"/>
          <w:u w:val="single"/>
        </w:rPr>
        <w:br w:type="page" w:clear="all"/>
      </w:r>
      <w:bookmarkStart w:id="170" w:name="_Toc27624"/>
      <w:r/>
      <w:bookmarkStart w:id="171" w:name="_Toc20313"/>
      <w:r>
        <w:rPr>
          <w:rFonts w:hint="eastAsia" w:ascii="黑体" w:hAnsi="黑体" w:eastAsia="黑体"/>
          <w:b w:val="0"/>
          <w:bCs w:val="0"/>
          <w:color w:val="auto"/>
          <w:sz w:val="28"/>
          <w:szCs w:val="28"/>
          <w:highlight w:val="none"/>
        </w:rPr>
        <w:t xml:space="preserve">第二节 政府采购合同通用条款</w:t>
      </w:r>
      <w:bookmarkEnd w:id="170"/>
      <w:r/>
      <w:r/>
    </w:p>
    <w:p>
      <w:pPr>
        <w:jc w:val="left"/>
        <w:spacing w:line="400" w:lineRule="exact"/>
        <w:tabs>
          <w:tab w:val="left" w:pos="8820" w:leader="none"/>
          <w:tab w:val="left" w:pos="9345" w:leader="none"/>
          <w:tab w:val="left" w:pos="9765" w:leader="none"/>
        </w:tabs>
        <w:rPr>
          <w:rFonts w:hint="eastAsia" w:ascii="宋体" w:hAnsi="宋体"/>
          <w:b/>
          <w:bCs/>
          <w:color w:val="auto"/>
          <w:sz w:val="24"/>
          <w:szCs w:val="24"/>
          <w:highlight w:val="none"/>
        </w:rPr>
      </w:pPr>
      <w:r>
        <w:rPr>
          <w:rFonts w:hint="eastAsia" w:ascii="宋体" w:hAnsi="宋体"/>
          <w:b/>
          <w:color w:val="auto"/>
          <w:sz w:val="24"/>
          <w:szCs w:val="24"/>
          <w:highlight w:val="none"/>
        </w:rPr>
        <w:t xml:space="preserve">1. </w:t>
      </w:r>
      <w:r>
        <w:rPr>
          <w:rFonts w:hint="eastAsia" w:ascii="宋体" w:hAnsi="宋体"/>
          <w:b/>
          <w:bCs/>
          <w:color w:val="auto"/>
          <w:sz w:val="24"/>
          <w:szCs w:val="24"/>
          <w:highlight w:val="none"/>
        </w:rPr>
        <w:t xml:space="preserve">定义</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1.1合同当事人</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（3）其他合同主体是指除采购人和供应商以外，</w:t>
      </w:r>
      <w:r>
        <w:rPr>
          <w:rFonts w:hint="eastAsia" w:ascii="宋体" w:hAnsi="宋体" w:cs="宋体"/>
          <w:bCs/>
          <w:color w:val="auto"/>
          <w:sz w:val="24"/>
          <w:szCs w:val="24"/>
          <w:highlight w:val="none"/>
        </w:rPr>
        <w:t xml:space="preserve">依法参与合同缔结或履行，享有权利、承担义务的合同当事人</w:t>
      </w:r>
      <w:r>
        <w:rPr>
          <w:rFonts w:hint="eastAsia" w:ascii="宋体" w:hAnsi="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1.2本合同下列术语应解释为：</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（1）“合同”系指</w:t>
      </w:r>
      <w:r>
        <w:rPr>
          <w:rFonts w:hint="eastAsia" w:ascii="宋体" w:hAnsi="宋体" w:cs="宋体"/>
          <w:bCs/>
          <w:color w:val="auto"/>
          <w:sz w:val="24"/>
          <w:szCs w:val="24"/>
          <w:highlight w:val="none"/>
        </w:rPr>
        <w:t xml:space="preserve">合同当事人意思表示达成一致的任何协议，包括签署的</w:t>
      </w:r>
      <w:r>
        <w:rPr>
          <w:rFonts w:hint="eastAsia" w:ascii="宋体" w:hAnsi="宋体"/>
          <w:color w:val="auto"/>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4"/>
          <w:szCs w:val="24"/>
          <w:highlight w:val="none"/>
        </w:rPr>
        <w:t xml:space="preserve">国家法律、行政法规和规章制度规定或合同约定的作为合同组成部分的其他文件</w:t>
      </w:r>
      <w:r>
        <w:rPr>
          <w:rFonts w:hint="eastAsia" w:ascii="宋体" w:hAnsi="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（3）“货物”系指乙方根据本合同规定须向甲方提供的各种形态和种类的物品，包括原材料、设备、产品（包括软件）及相关</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备品备件、工具、手册及</w:t>
      </w:r>
      <w:r>
        <w:rPr>
          <w:rFonts w:hint="eastAsia" w:ascii="宋体" w:hAnsi="宋体"/>
          <w:color w:val="auto"/>
          <w:sz w:val="24"/>
          <w:szCs w:val="24"/>
          <w:highlight w:val="none"/>
          <w:lang w:val="en"/>
        </w:rPr>
        <w:t xml:space="preserve">其他</w:t>
      </w:r>
      <w:r>
        <w:rPr>
          <w:rFonts w:hint="eastAsia" w:ascii="宋体" w:hAnsi="宋体"/>
          <w:color w:val="auto"/>
          <w:sz w:val="24"/>
          <w:szCs w:val="24"/>
          <w:highlight w:val="none"/>
        </w:rPr>
        <w:t xml:space="preserve">技术资料和材料等。</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（4）“相关服务”系指根据合同规定，乙方应提供的与货物有关的技术、管理和</w:t>
      </w:r>
      <w:r>
        <w:rPr>
          <w:rFonts w:hint="eastAsia" w:ascii="宋体" w:hAnsi="宋体"/>
          <w:color w:val="auto"/>
          <w:sz w:val="24"/>
          <w:szCs w:val="24"/>
          <w:highlight w:val="none"/>
          <w:lang w:val="en"/>
        </w:rPr>
        <w:t xml:space="preserve">其他</w:t>
      </w:r>
      <w:r>
        <w:rPr>
          <w:rFonts w:hint="eastAsia" w:ascii="宋体" w:hAnsi="宋体"/>
          <w:color w:val="auto"/>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auto"/>
          <w:sz w:val="24"/>
          <w:szCs w:val="24"/>
          <w:highlight w:val="none"/>
          <w:lang w:val="en"/>
        </w:rPr>
        <w:t xml:space="preserve">其他</w:t>
      </w:r>
      <w:r>
        <w:rPr>
          <w:rFonts w:hint="eastAsia" w:ascii="宋体" w:hAnsi="宋体"/>
          <w:color w:val="auto"/>
          <w:sz w:val="24"/>
          <w:szCs w:val="24"/>
          <w:highlight w:val="none"/>
        </w:rPr>
        <w:t xml:space="preserve">义务。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w:t>
      </w:r>
      <w:r/>
    </w:p>
    <w:p>
      <w:pPr>
        <w:ind w:firstLine="480"/>
        <w:jc w:val="left"/>
        <w:spacing w:line="400" w:lineRule="exact"/>
        <w:tabs>
          <w:tab w:val="left" w:pos="570" w:leader="none"/>
          <w:tab w:val="left" w:pos="9240" w:leader="none"/>
          <w:tab w:val="left" w:pos="95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（7）其他术语解释，见【</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w:t>
      </w:r>
      <w:r/>
    </w:p>
    <w:p>
      <w:pPr>
        <w:numPr>
          <w:ilvl w:val="0"/>
          <w:numId w:val="5"/>
        </w:numPr>
        <w:jc w:val="left"/>
        <w:spacing w:line="400" w:lineRule="exact"/>
        <w:rPr>
          <w:rFonts w:hint="eastAsia" w:ascii="宋体" w:hAnsi="宋体"/>
          <w:b/>
          <w:bCs/>
          <w:color w:val="auto"/>
          <w:sz w:val="24"/>
          <w:szCs w:val="24"/>
          <w:highlight w:val="none"/>
        </w:rPr>
      </w:pPr>
      <w:r>
        <w:rPr>
          <w:rFonts w:hint="eastAsia" w:ascii="宋体" w:hAnsi="宋体"/>
          <w:b/>
          <w:color w:val="auto"/>
          <w:sz w:val="24"/>
          <w:szCs w:val="24"/>
          <w:highlight w:val="none"/>
        </w:rPr>
        <w:t xml:space="preserve">合同标的及金额</w:t>
      </w:r>
      <w:r/>
    </w:p>
    <w:p>
      <w:pPr>
        <w:ind w:firstLine="480"/>
        <w:jc w:val="left"/>
        <w:spacing w:line="400" w:lineRule="exact"/>
        <w:rPr>
          <w:rFonts w:hint="eastAsia" w:ascii="宋体" w:hAnsi="宋体"/>
          <w:b/>
          <w:bCs/>
          <w:i/>
          <w:iCs/>
          <w:color w:val="auto"/>
          <w:sz w:val="24"/>
          <w:szCs w:val="24"/>
          <w:highlight w:val="none"/>
        </w:rPr>
      </w:pPr>
      <w:r>
        <w:rPr>
          <w:rFonts w:hint="eastAsia" w:ascii="宋体" w:hAnsi="宋体"/>
          <w:color w:val="auto"/>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color w:val="auto"/>
          <w:sz w:val="24"/>
          <w:szCs w:val="24"/>
          <w:highlight w:val="none"/>
          <w:lang w:val="en"/>
        </w:rPr>
        <w:t xml:space="preserve">其他</w:t>
      </w:r>
      <w:r>
        <w:rPr>
          <w:rFonts w:hint="eastAsia" w:ascii="宋体" w:hAnsi="宋体"/>
          <w:color w:val="auto"/>
          <w:sz w:val="24"/>
          <w:szCs w:val="24"/>
          <w:highlight w:val="none"/>
        </w:rPr>
        <w:t xml:space="preserve">任何费用。</w:t>
      </w:r>
      <w:r/>
    </w:p>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 履行合同的时间、地点和方式</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 </w:t>
      </w:r>
      <w:r>
        <w:rPr>
          <w:rFonts w:hint="eastAsia" w:ascii="宋体" w:hAnsi="宋体" w:cs="宋体"/>
          <w:color w:val="auto"/>
          <w:sz w:val="24"/>
          <w:szCs w:val="24"/>
          <w:highlight w:val="none"/>
        </w:rPr>
        <w:t xml:space="preserve">乙方应当在约定的时间、地点，按照约定方式履行合同。</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 甲方的权利和义务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hint="eastAsia" w:eastAsia="华文楷体"/>
          <w:color w:val="auto"/>
          <w:sz w:val="24"/>
          <w:szCs w:val="24"/>
          <w:highlight w:val="none"/>
        </w:rPr>
      </w:pPr>
      <w:r>
        <w:rPr>
          <w:rFonts w:hint="eastAsia" w:ascii="宋体" w:hAnsi="宋体"/>
          <w:color w:val="auto"/>
          <w:sz w:val="24"/>
          <w:szCs w:val="24"/>
          <w:highlight w:val="none"/>
        </w:rPr>
        <w:t xml:space="preserve">4.4 甲方应当按照合同约定及时对交付的货物进行验收，</w:t>
      </w:r>
      <w:r>
        <w:rPr>
          <w:rFonts w:hint="eastAsia" w:ascii="宋体" w:hAnsi="宋体" w:cs="宋体"/>
          <w:color w:val="auto"/>
          <w:sz w:val="24"/>
          <w:szCs w:val="24"/>
          <w:highlight w:val="none"/>
        </w:rPr>
        <w:t xml:space="preserve">未</w:t>
      </w:r>
      <w:r>
        <w:rPr>
          <w:rFonts w:hint="eastAsia" w:ascii="宋体" w:hAnsi="宋体"/>
          <w:color w:val="auto"/>
          <w:sz w:val="24"/>
          <w:szCs w:val="24"/>
          <w:highlight w:val="none"/>
        </w:rPr>
        <w:t xml:space="preserve">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约定的期限内对乙方履约提出任何异议或者向乙方作出任何说明的，</w:t>
      </w:r>
      <w:r>
        <w:rPr>
          <w:rFonts w:hint="eastAsia" w:ascii="宋体" w:hAnsi="宋体"/>
          <w:color w:val="auto"/>
          <w:sz w:val="24"/>
          <w:szCs w:val="24"/>
          <w:highlight w:val="none"/>
        </w:rPr>
        <w:t xml:space="preserve">视为验收通过。</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4.5 甲方应当根据合同约定及时向乙方支付合同价款，不得以内部人员变更、履行内部付款流程等为由，拒绝或迟延支付。</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4.6 国家法律法规规定及</w:t>
      </w:r>
      <w:r>
        <w:rPr>
          <w:rFonts w:hint="eastAsia" w:ascii="宋体" w:hAnsi="宋体" w:cs="宋体"/>
          <w:b/>
          <w:bCs/>
          <w:color w:val="auto"/>
          <w:sz w:val="24"/>
          <w:szCs w:val="24"/>
          <w:highlight w:val="none"/>
        </w:rPr>
        <w:t xml:space="preserve">【政府采购合同专用条款】</w:t>
      </w:r>
      <w:r>
        <w:rPr>
          <w:rFonts w:hint="eastAsia" w:ascii="宋体" w:hAnsi="宋体"/>
          <w:color w:val="auto"/>
          <w:sz w:val="24"/>
          <w:szCs w:val="24"/>
          <w:highlight w:val="none"/>
        </w:rPr>
        <w:t xml:space="preserve">约定应由甲方承担的其他义务和责任。</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 乙方的权利和义务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签署合同后，乙方应确定项目负责人（或项目联系人），负责与本合同有关的事务。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17"/>
        <w:ind w:firstLine="422"/>
        <w:spacing w:after="0" w:line="4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5.3乙方有权</w:t>
      </w:r>
      <w:r>
        <w:rPr>
          <w:rFonts w:hint="eastAsia" w:ascii="宋体" w:hAnsi="宋体" w:cs="宋体"/>
          <w:color w:val="auto"/>
          <w:sz w:val="24"/>
          <w:szCs w:val="24"/>
          <w:highlight w:val="none"/>
        </w:rPr>
        <w:t xml:space="preserve">根据合同约定向甲方收取合同价款。</w:t>
      </w:r>
      <w:r/>
    </w:p>
    <w:p>
      <w:pPr>
        <w:pStyle w:val="917"/>
        <w:ind w:firstLine="422"/>
        <w:spacing w:after="0" w:line="4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5.4</w:t>
      </w:r>
      <w:r>
        <w:rPr>
          <w:rFonts w:hint="eastAsia" w:ascii="宋体" w:hAnsi="宋体" w:cs="宋体"/>
          <w:color w:val="auto"/>
          <w:sz w:val="24"/>
          <w:szCs w:val="24"/>
          <w:highlight w:val="none"/>
        </w:rPr>
        <w:t xml:space="preserve">国家法律法规规定</w:t>
      </w:r>
      <w:r>
        <w:rPr>
          <w:rFonts w:hint="eastAsia" w:ascii="宋体" w:hAnsi="宋体"/>
          <w:color w:val="auto"/>
          <w:sz w:val="24"/>
          <w:szCs w:val="24"/>
          <w:highlight w:val="none"/>
        </w:rPr>
        <w:t xml:space="preserve">及</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约定应由乙方承担的其他义务和责任。</w:t>
      </w:r>
      <w:r/>
    </w:p>
    <w:p>
      <w:pPr>
        <w:numPr>
          <w:ilvl w:val="0"/>
          <w:numId w:val="6"/>
        </w:num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合同履行</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6.1 甲乙双方应当按照</w:t>
      </w:r>
      <w:r>
        <w:rPr>
          <w:rFonts w:hint="eastAsia" w:ascii="宋体" w:hAnsi="宋体" w:cs="宋体"/>
          <w:b/>
          <w:bCs/>
          <w:color w:val="auto"/>
          <w:sz w:val="24"/>
          <w:szCs w:val="24"/>
          <w:highlight w:val="none"/>
        </w:rPr>
        <w:t xml:space="preserve">【政府采购合同专用条款】</w:t>
      </w:r>
      <w:r>
        <w:rPr>
          <w:rFonts w:hint="eastAsia" w:ascii="宋体" w:hAnsi="宋体"/>
          <w:color w:val="auto"/>
          <w:sz w:val="24"/>
          <w:szCs w:val="24"/>
          <w:highlight w:val="none"/>
        </w:rPr>
        <w:t xml:space="preserve">约定顺序履行合同义务；如果没有先后顺序的，应当同时履行。</w:t>
      </w:r>
      <w:r/>
    </w:p>
    <w:p>
      <w:pPr>
        <w:ind w:firstLine="480"/>
        <w:jc w:val="left"/>
        <w:spacing w:line="400" w:lineRule="exact"/>
        <w:rPr>
          <w:rFonts w:hint="eastAsia"/>
          <w:color w:val="auto"/>
          <w:sz w:val="24"/>
          <w:szCs w:val="24"/>
          <w:highlight w:val="none"/>
        </w:rPr>
      </w:pPr>
      <w:r>
        <w:rPr>
          <w:rFonts w:hint="eastAsia" w:ascii="宋体" w:hAnsi="宋体"/>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7. 货物包装、运输、保险和交付要求</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 本合同</w:t>
      </w:r>
      <w:r>
        <w:rPr>
          <w:rFonts w:hint="eastAsia" w:ascii="宋体" w:hAnsi="宋体"/>
          <w:bCs/>
          <w:color w:val="auto"/>
          <w:sz w:val="24"/>
          <w:szCs w:val="24"/>
          <w:highlight w:val="none"/>
        </w:rPr>
        <w:t xml:space="preserve">涉及商品包装、快递包装的，</w:t>
      </w:r>
      <w:r>
        <w:rPr>
          <w:rFonts w:hint="eastAsia" w:ascii="宋体" w:hAnsi="宋体"/>
          <w:color w:val="auto"/>
          <w:sz w:val="24"/>
          <w:szCs w:val="24"/>
          <w:highlight w:val="none"/>
        </w:rPr>
        <w:t xml:space="preserve">除</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另有约定外，</w:t>
      </w:r>
      <w:r>
        <w:rPr>
          <w:rFonts w:hint="eastAsia" w:ascii="宋体" w:hAnsi="宋体"/>
          <w:color w:val="auto"/>
          <w:sz w:val="24"/>
          <w:szCs w:val="24"/>
          <w:highlight w:val="none"/>
        </w:rPr>
        <w:t xml:space="preserve">包装应适应远距离运输、防潮、防震、防锈和防野蛮装卸等要求，确保货物安全无损地运抵</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约定的</w:t>
      </w:r>
      <w:r>
        <w:rPr>
          <w:rFonts w:hint="eastAsia" w:ascii="宋体" w:hAnsi="宋体"/>
          <w:color w:val="auto"/>
          <w:sz w:val="24"/>
          <w:szCs w:val="24"/>
          <w:highlight w:val="none"/>
        </w:rPr>
        <w:t xml:space="preserve">指定现场。</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 除</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另有约定外，</w:t>
      </w:r>
      <w:r>
        <w:rPr>
          <w:rFonts w:hint="eastAsia" w:ascii="宋体" w:hAnsi="宋体"/>
          <w:color w:val="auto"/>
          <w:sz w:val="24"/>
          <w:szCs w:val="24"/>
          <w:highlight w:val="none"/>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7.3 货物保险要求按</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规定执行</w:t>
      </w:r>
      <w:r>
        <w:rPr>
          <w:rFonts w:hint="eastAsia" w:ascii="宋体" w:hAnsi="宋体"/>
          <w:color w:val="auto"/>
          <w:sz w:val="24"/>
          <w:szCs w:val="24"/>
          <w:highlight w:val="none"/>
        </w:rPr>
        <w:t xml:space="preserve">。</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7.5 </w:t>
      </w:r>
      <w:r>
        <w:rPr>
          <w:rFonts w:hint="eastAsia" w:ascii="宋体" w:hAnsi="宋体" w:cs="宋体"/>
          <w:color w:val="auto"/>
          <w:sz w:val="24"/>
          <w:szCs w:val="24"/>
          <w:highlight w:val="none"/>
        </w:rPr>
        <w:t xml:space="preserve">乙方在运输到达之前应提前通知甲方，并提示货物运输装卸的注意事项，甲方配合乙方做好货物的接收工作。</w:t>
      </w:r>
      <w:r/>
    </w:p>
    <w:p>
      <w:pPr>
        <w:pStyle w:val="927"/>
        <w:ind w:firstLine="420"/>
        <w:rPr>
          <w:rFonts w:hint="eastAsia"/>
          <w:color w:val="auto"/>
          <w:sz w:val="24"/>
          <w:szCs w:val="24"/>
          <w:highlight w:val="none"/>
        </w:rPr>
      </w:pPr>
      <w:r>
        <w:rPr>
          <w:rFonts w:hint="eastAsia" w:ascii="宋体" w:hAnsi="宋体" w:eastAsia="宋体" w:cs="Times New Roman"/>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8. 质量标准和保证</w:t>
      </w:r>
      <w:r/>
    </w:p>
    <w:p>
      <w:pPr>
        <w:pStyle w:val="918"/>
        <w:ind w:firstLine="480"/>
        <w:jc w:val="left"/>
        <w:spacing w:line="400" w:lineRule="exact"/>
        <w:rPr>
          <w:rFonts w:hint="eastAsia" w:hAnsi="宋体"/>
          <w:b/>
          <w:color w:val="auto"/>
          <w:sz w:val="24"/>
          <w:szCs w:val="24"/>
          <w:highlight w:val="none"/>
        </w:rPr>
      </w:pPr>
      <w:r>
        <w:rPr>
          <w:rFonts w:hint="eastAsia" w:hAnsi="宋体"/>
          <w:color w:val="auto"/>
          <w:sz w:val="24"/>
          <w:szCs w:val="24"/>
          <w:highlight w:val="none"/>
        </w:rPr>
        <w:t xml:space="preserve">8.1 质量标准</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（1）本合同下提供的货物应符合合同</w:t>
      </w:r>
      <w:r>
        <w:rPr>
          <w:rFonts w:hint="eastAsia" w:ascii="宋体" w:hAnsi="宋体" w:cs="宋体"/>
          <w:color w:val="auto"/>
          <w:sz w:val="24"/>
          <w:szCs w:val="24"/>
          <w:highlight w:val="none"/>
        </w:rPr>
        <w:t xml:space="preserve">约定的品牌、规格型号、技术性能、配置、质量、数量等要求。</w:t>
      </w:r>
      <w:r>
        <w:rPr>
          <w:rFonts w:hint="eastAsia" w:ascii="宋体" w:hAnsi="宋体"/>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8"/>
        <w:ind w:firstLine="480"/>
        <w:jc w:val="left"/>
        <w:spacing w:line="400" w:lineRule="exact"/>
        <w:rPr>
          <w:rFonts w:hint="eastAsia" w:hAnsi="宋体"/>
          <w:color w:val="auto"/>
          <w:sz w:val="24"/>
          <w:szCs w:val="24"/>
          <w:highlight w:val="none"/>
        </w:rPr>
      </w:pPr>
      <w:r>
        <w:rPr>
          <w:rFonts w:hint="eastAsia" w:hAnsi="宋体"/>
          <w:color w:val="auto"/>
          <w:sz w:val="24"/>
          <w:szCs w:val="24"/>
          <w:highlight w:val="none"/>
        </w:rPr>
        <w:t xml:space="preserve">（2）采用中华人民共和国法定计量单位。</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（3）乙方所提供的货物应符合国家有关安全、环保、卫生的规定。</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8.2 保证</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4"/>
          <w:szCs w:val="24"/>
          <w:highlight w:val="none"/>
        </w:rPr>
        <w:t xml:space="preserve">在其使用寿命期内具备合同约定的性能</w:t>
      </w:r>
      <w:r>
        <w:rPr>
          <w:rFonts w:hint="eastAsia" w:ascii="宋体" w:hAnsi="宋体"/>
          <w:color w:val="auto"/>
          <w:sz w:val="24"/>
          <w:szCs w:val="24"/>
          <w:highlight w:val="none"/>
        </w:rPr>
        <w:t xml:space="preserve">。存在质量保证期的，货物最终交付验收合格后在</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规定或乙方书面承诺（两者以较长的为准）的质量保证期内，本保证保持有效。</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（2）在质量保证期内所发现的缺陷，甲方应尽快以书面形式通知乙方。</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（3）乙方收到通知后，应在</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规定的响应时间内以合理的速度免费维修或更换有缺陷的货物或部件。</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hint="eastAsia"/>
          <w:color w:val="auto"/>
          <w:sz w:val="24"/>
          <w:szCs w:val="24"/>
          <w:highlight w:val="none"/>
        </w:rPr>
      </w:pPr>
      <w:r>
        <w:rPr>
          <w:rFonts w:hint="eastAsia" w:ascii="宋体" w:hAnsi="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9. 权利瑕疵担保</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9.1 乙方保证对其出售的货物享有合法的权利。</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 </w:t>
      </w:r>
      <w:r>
        <w:rPr>
          <w:rFonts w:hint="eastAsia" w:ascii="宋体" w:hAnsi="宋体" w:cs="宋体"/>
          <w:color w:val="auto"/>
          <w:sz w:val="24"/>
          <w:szCs w:val="24"/>
          <w:highlight w:val="none"/>
        </w:rPr>
        <w:t xml:space="preserve">乙方保证在交付的货物上不存在抵押权等担保物权。</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9.3 如甲方使用上述货物构成对第三人侵权的，则由乙方承担全部责任。</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10. 知识产权保护</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10.1 乙方对其所销售的货物应当享有知识产权或经权利人合法授权，保证没有侵犯任何第三人的知识产权等权利。</w:t>
      </w:r>
      <w:bookmarkStart w:id="172" w:name="_Hlk163047038"/>
      <w:r>
        <w:rPr>
          <w:rFonts w:hint="eastAsia" w:ascii="宋体" w:hAnsi="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color w:val="auto"/>
          <w:sz w:val="24"/>
          <w:szCs w:val="24"/>
          <w:highlight w:val="none"/>
        </w:rPr>
        <w:t xml:space="preserve">。</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11. 保密义务</w:t>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中约定。</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12. 合同价款支付</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合同价款支付按照国库集中支付制度及财政管理相关规定执行。</w:t>
      </w:r>
      <w:r/>
    </w:p>
    <w:p>
      <w:pPr>
        <w:pStyle w:val="912"/>
        <w:ind w:firstLine="480"/>
        <w:spacing w:line="400" w:lineRule="exact"/>
        <w:rPr>
          <w:rFonts w:hint="eastAsia"/>
          <w:color w:val="auto"/>
          <w:sz w:val="24"/>
          <w:szCs w:val="24"/>
          <w:highlight w:val="none"/>
        </w:rPr>
      </w:pPr>
      <w:r>
        <w:rPr>
          <w:rFonts w:hint="eastAsia" w:ascii="宋体" w:hAnsi="宋体"/>
          <w:b w:val="0"/>
          <w:bCs w:val="0"/>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4"/>
          <w:szCs w:val="24"/>
          <w:highlight w:val="none"/>
        </w:rPr>
        <w:t xml:space="preserve">政府采购合同专用条款</w:t>
      </w:r>
      <w:r>
        <w:rPr>
          <w:rFonts w:hint="eastAsia" w:ascii="宋体" w:hAnsi="宋体"/>
          <w:b w:val="0"/>
          <w:bCs w:val="0"/>
          <w:color w:val="auto"/>
          <w:sz w:val="24"/>
          <w:szCs w:val="24"/>
          <w:highlight w:val="none"/>
        </w:rPr>
        <w:t xml:space="preserve">】中约定。</w:t>
      </w:r>
      <w:r/>
    </w:p>
    <w:p>
      <w:pPr>
        <w:pStyle w:val="917"/>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w:t>
      </w:r>
      <w:r>
        <w:rPr>
          <w:rFonts w:hint="eastAsia" w:ascii="宋体" w:hAnsi="宋体" w:cs="宋体"/>
          <w:color w:val="auto"/>
          <w:sz w:val="24"/>
          <w:szCs w:val="24"/>
          <w:highlight w:val="none"/>
        </w:rPr>
        <w:t xml:space="preserve">乙方应当以支票、汇票、本票或者金融机构、担保机构出具的保函等非现金形式提交。</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如果乙方出现</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约定情形的</w:t>
      </w:r>
      <w:r>
        <w:rPr>
          <w:rFonts w:hint="eastAsia" w:ascii="宋体" w:hAnsi="宋体"/>
          <w:color w:val="auto"/>
          <w:sz w:val="24"/>
          <w:szCs w:val="24"/>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auto"/>
          <w:sz w:val="24"/>
          <w:szCs w:val="24"/>
          <w:highlight w:val="none"/>
        </w:rPr>
      </w:pPr>
      <w:r>
        <w:rPr>
          <w:rFonts w:hint="eastAsia" w:ascii="宋体" w:hAnsi="宋体"/>
          <w:color w:val="auto"/>
          <w:sz w:val="24"/>
          <w:szCs w:val="24"/>
          <w:highlight w:val="none"/>
        </w:rPr>
        <w:t xml:space="preserve">13.3 甲方在项目通过验收后按照</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规定的时间内将履约保证金退还乙方；逾期退还的，乙方可要求甲方支付违约金，违约金按照</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规定支付。</w:t>
      </w:r>
      <w:r/>
    </w:p>
    <w:p>
      <w:pPr>
        <w:jc w:val="left"/>
        <w:spacing w:line="400" w:lineRule="exact"/>
        <w:rPr>
          <w:rFonts w:ascii="宋体" w:hAnsi="宋体"/>
          <w:b/>
          <w:color w:val="auto"/>
          <w:sz w:val="24"/>
          <w:szCs w:val="24"/>
          <w:highlight w:val="none"/>
        </w:rPr>
      </w:pPr>
      <w:r>
        <w:rPr>
          <w:rFonts w:hint="eastAsia" w:ascii="宋体" w:hAnsi="宋体"/>
          <w:b/>
          <w:bCs/>
          <w:color w:val="auto"/>
          <w:sz w:val="24"/>
          <w:szCs w:val="24"/>
          <w:highlight w:val="none"/>
        </w:rPr>
        <w:t xml:space="preserve">14. </w:t>
      </w:r>
      <w:r>
        <w:rPr>
          <w:rFonts w:hint="eastAsia"/>
          <w:b/>
          <w:color w:val="auto"/>
          <w:sz w:val="24"/>
          <w:szCs w:val="24"/>
          <w:highlight w:val="none"/>
        </w:rPr>
        <w:t xml:space="preserve">售后</w:t>
      </w:r>
      <w:r>
        <w:rPr>
          <w:rFonts w:hint="eastAsia" w:ascii="宋体" w:hAnsi="宋体"/>
          <w:b/>
          <w:color w:val="auto"/>
          <w:sz w:val="24"/>
          <w:szCs w:val="24"/>
          <w:highlight w:val="none"/>
        </w:rPr>
        <w:t xml:space="preserve">服务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除项目不涉及或采购活动中明确约定无须承担外，乙方还应提供下列服务：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（1）货物的现场移动、安装、调试、启动监督及技术支持；</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（2）提供货物组装和维修所需的专用工具和辅助材料；</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（3）在</w:t>
      </w:r>
      <w:r>
        <w:rPr>
          <w:rFonts w:hint="eastAsia" w:ascii="宋体" w:hAnsi="宋体" w:cs="宋体"/>
          <w:b/>
          <w:bCs/>
          <w:color w:val="auto"/>
          <w:sz w:val="24"/>
          <w:szCs w:val="24"/>
          <w:highlight w:val="none"/>
        </w:rPr>
        <w:t xml:space="preserve">【政府采购合同专用条款】</w:t>
      </w:r>
      <w:r>
        <w:rPr>
          <w:rFonts w:hint="eastAsia" w:ascii="宋体" w:hAnsi="宋体"/>
          <w:color w:val="auto"/>
          <w:sz w:val="24"/>
          <w:szCs w:val="24"/>
          <w:highlight w:val="none"/>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（4）在制造商所在地或指定现场就货物的安装、启动、运营、维护、废弃处置等对甲方操作人员进行培训</w:t>
      </w:r>
      <w:r>
        <w:rPr>
          <w:rFonts w:hint="eastAsia" w:ascii="宋体" w:hAnsi="宋体" w:cs="宋体"/>
          <w:color w:val="auto"/>
          <w:sz w:val="24"/>
          <w:szCs w:val="24"/>
          <w:highlight w:val="none"/>
        </w:rPr>
        <w:t xml:space="preserve">；</w:t>
      </w:r>
      <w:r/>
    </w:p>
    <w:p>
      <w:pPr>
        <w:pStyle w:val="927"/>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规定由乙方提供的其他服务。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乙方提供的售后服务的费用已包含在合同价款中，甲方不再另行支付。</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15. 违约责任</w:t>
      </w:r>
      <w:r/>
    </w:p>
    <w:p>
      <w:pPr>
        <w:ind w:firstLine="480"/>
        <w:jc w:val="left"/>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15.1质量瑕疵的违约责任</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乙方提供的产品不符合合同约定的质量标准或存在产品质量缺陷，甲方有权要求乙方根据</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要求</w:t>
      </w:r>
      <w:r>
        <w:rPr>
          <w:rFonts w:hint="eastAsia" w:ascii="宋体" w:hAnsi="宋体"/>
          <w:color w:val="auto"/>
          <w:sz w:val="24"/>
          <w:szCs w:val="24"/>
          <w:highlight w:val="none"/>
        </w:rPr>
        <w:t xml:space="preserve">及时修理、重作、更换，并承担由此给甲方造成的损失。</w:t>
      </w:r>
      <w:r/>
    </w:p>
    <w:p>
      <w:pPr>
        <w:ind w:firstLine="480"/>
        <w:jc w:val="left"/>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15.2 迟延交货的违约责任</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4"/>
          <w:szCs w:val="24"/>
          <w:highlight w:val="none"/>
        </w:rPr>
        <w:t xml:space="preserve">【政府采购合同专用条款】</w:t>
      </w:r>
      <w:r>
        <w:rPr>
          <w:rFonts w:hint="eastAsia" w:ascii="宋体" w:hAnsi="宋体"/>
          <w:color w:val="auto"/>
          <w:sz w:val="24"/>
          <w:szCs w:val="24"/>
          <w:highlight w:val="none"/>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迟延支付的违约责任</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甲方存在迟延支付乙方合同款项的，应当承担</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规定的逾期付款利息。</w:t>
      </w:r>
      <w:r/>
    </w:p>
    <w:p>
      <w:pPr>
        <w:ind w:firstLine="480"/>
        <w:jc w:val="left"/>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15.4其他违约责任根据项目实际需要按</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规定执行。</w:t>
      </w:r>
      <w:r/>
    </w:p>
    <w:p>
      <w:pPr>
        <w:numPr>
          <w:ilvl w:val="0"/>
          <w:numId w:val="7"/>
        </w:num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合同变更、中止与终止</w:t>
      </w:r>
      <w:r/>
    </w:p>
    <w:p>
      <w:pPr>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16.1合同的变更</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16.2合同的中止</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（1）合同履行过程中因供应商就采购文件、采购过程或结果提起投诉的，甲方认为有必要的，可以中止合同的履行。</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7"/>
        <w:ind w:firstLine="420"/>
        <w:jc w:val="both"/>
        <w:rPr>
          <w:rFonts w:hint="eastAsia"/>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color w:val="auto"/>
          <w:sz w:val="24"/>
          <w:szCs w:val="24"/>
          <w:highlight w:val="none"/>
        </w:rPr>
      </w:pPr>
      <w:r>
        <w:rPr>
          <w:rFonts w:hint="eastAsia" w:ascii="宋体" w:hAnsi="宋体"/>
          <w:color w:val="auto"/>
          <w:sz w:val="24"/>
          <w:szCs w:val="24"/>
          <w:highlight w:val="none"/>
        </w:rPr>
        <w:t xml:space="preserve">（4）甲方不得以行政区划调整、政府换届、机构或者职能调整以及相关责任人更替为由中止合同。</w:t>
      </w:r>
      <w:r/>
    </w:p>
    <w:p>
      <w:pPr>
        <w:ind w:firstLine="480"/>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16.3合同的终止</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（1）合同因有效期限届满而终止；</w:t>
      </w:r>
      <w:r/>
    </w:p>
    <w:p>
      <w:pPr>
        <w:ind w:firstLine="480"/>
        <w:spacing w:line="4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（2）乙方未按合同约定履行，构成根本性违约的，甲方有权终止合同，</w:t>
      </w:r>
      <w:r>
        <w:rPr>
          <w:rFonts w:hint="eastAsia" w:ascii="宋体" w:hAnsi="宋体" w:cs="宋体"/>
          <w:color w:val="auto"/>
          <w:sz w:val="24"/>
          <w:szCs w:val="24"/>
          <w:highlight w:val="none"/>
        </w:rPr>
        <w:t xml:space="preserve">并追究乙方的违约责任</w:t>
      </w:r>
      <w:r>
        <w:rPr>
          <w:rFonts w:hint="eastAsia" w:ascii="宋体" w:hAnsi="宋体"/>
          <w:color w:val="auto"/>
          <w:sz w:val="24"/>
          <w:szCs w:val="24"/>
          <w:highlight w:val="none"/>
        </w:rPr>
        <w:t xml:space="preserve">。</w:t>
      </w:r>
      <w:r/>
    </w:p>
    <w:p>
      <w:pPr>
        <w:pStyle w:val="927"/>
        <w:rPr>
          <w:rFonts w:hint="eastAsia" w:ascii="宋体" w:hAnsi="宋体"/>
          <w:color w:val="auto"/>
          <w:sz w:val="24"/>
          <w:szCs w:val="24"/>
          <w:highlight w:val="none"/>
        </w:rPr>
      </w:pPr>
      <w:r>
        <w:rPr>
          <w:rFonts w:hint="eastAsia" w:ascii="宋体" w:hAnsi="宋体"/>
          <w:color w:val="auto"/>
          <w:sz w:val="24"/>
          <w:szCs w:val="24"/>
          <w:highlight w:val="none"/>
        </w:rPr>
        <w:t xml:space="preserve">16.4 </w:t>
      </w:r>
      <w:r>
        <w:rPr>
          <w:rFonts w:hint="eastAsia" w:ascii="宋体" w:hAnsi="宋体" w:eastAsia="宋体" w:cs="Times New Roman"/>
          <w:color w:val="auto"/>
          <w:sz w:val="24"/>
          <w:szCs w:val="24"/>
          <w:highlight w:val="none"/>
        </w:rPr>
        <w:t xml:space="preserve">涉及国家利益、社会公共利益的情形</w:t>
      </w:r>
      <w:r/>
    </w:p>
    <w:p>
      <w:pPr>
        <w:pStyle w:val="927"/>
        <w:ind w:firstLine="420"/>
        <w:jc w:val="both"/>
        <w:rPr>
          <w:rFonts w:hint="eastAsia"/>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 合同分包</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 乙方不得将合同转包给其他供应商。涉及合同分包的，乙方应根据采购文件和投标（响应）文件规定进行合同分包。</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18. 不可抗力</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 不可抗力是指合同双方不能预见、不能避免且不能克服的客观情况。</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19. 解决争议的方法</w:t>
      </w:r>
      <w:r/>
    </w:p>
    <w:p>
      <w:pPr>
        <w:pStyle w:val="927"/>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7"/>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927"/>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20. 政府采购政策</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 </w:t>
      </w:r>
      <w:r>
        <w:rPr>
          <w:rFonts w:hint="eastAsia" w:ascii="宋体" w:hAnsi="宋体" w:cs="宋体"/>
          <w:color w:val="auto"/>
          <w:sz w:val="24"/>
          <w:szCs w:val="24"/>
          <w:highlight w:val="none"/>
          <w:lang w:val="en-GB"/>
        </w:rPr>
        <w:t xml:space="preserve">本合同应当按照规定执行政府采购政策。</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 本合同依法执行政府采购政策的方式和内容，属于合同履约验收的范围。</w:t>
      </w:r>
      <w:r>
        <w:rPr>
          <w:rFonts w:hint="eastAsia" w:ascii="宋体" w:hAnsi="宋体" w:cs="宋体"/>
          <w:color w:val="auto"/>
          <w:sz w:val="24"/>
          <w:szCs w:val="24"/>
          <w:highlight w:val="none"/>
        </w:rPr>
        <w:t xml:space="preserve">甲乙双方</w:t>
      </w:r>
      <w:r>
        <w:rPr>
          <w:rFonts w:hint="eastAsia" w:ascii="宋体" w:hAnsi="宋体" w:cs="宋体"/>
          <w:color w:val="auto"/>
          <w:sz w:val="24"/>
          <w:szCs w:val="24"/>
          <w:highlight w:val="none"/>
          <w:lang w:val="en-GB"/>
        </w:rPr>
        <w:t xml:space="preserve">未按规定要求执行政府采购政策造成损失的</w:t>
      </w:r>
      <w:r>
        <w:rPr>
          <w:rFonts w:hint="eastAsia" w:ascii="宋体" w:hAnsi="宋体"/>
          <w:color w:val="auto"/>
          <w:sz w:val="24"/>
          <w:szCs w:val="24"/>
          <w:highlight w:val="none"/>
        </w:rPr>
        <w:t xml:space="preserve">，有过错的一方应当承担赔偿责任，双方都有过错的，各自承担相应的责任。</w:t>
      </w:r>
      <w:r/>
    </w:p>
    <w:p>
      <w:pPr>
        <w:pStyle w:val="917"/>
        <w:ind w:firstLine="480"/>
        <w:spacing w:after="0" w:line="400" w:lineRule="exact"/>
        <w:rPr>
          <w:rFonts w:hint="eastAsia"/>
          <w:color w:val="auto"/>
          <w:sz w:val="24"/>
          <w:szCs w:val="24"/>
          <w:highlight w:val="none"/>
        </w:rPr>
      </w:pPr>
      <w:r>
        <w:rPr>
          <w:rFonts w:hint="eastAsia" w:ascii="宋体" w:hAnsi="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21. 法律适用</w:t>
      </w:r>
      <w:r/>
    </w:p>
    <w:p>
      <w:pPr>
        <w:pStyle w:val="927"/>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927"/>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22. 通知</w:t>
      </w:r>
      <w:r/>
    </w:p>
    <w:p>
      <w:pPr>
        <w:pStyle w:val="927"/>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927"/>
        <w:ind w:firstLine="0"/>
        <w:jc w:val="both"/>
        <w:rPr>
          <w:rFonts w:hint="eastAsia"/>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22.3本合同一方给另一方的通知均应采用书面形式，传真或快递送到本合同中规定的对方的地址和办理签收手续。</w:t>
      </w:r>
      <w:r/>
    </w:p>
    <w:p>
      <w:pPr>
        <w:ind w:firstLine="48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合同未尽事项</w:t>
      </w:r>
      <w:r/>
    </w:p>
    <w:p>
      <w:pPr>
        <w:ind w:firstLine="480"/>
        <w:jc w:val="left"/>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23.1合同未尽事项见</w:t>
      </w:r>
      <w:r>
        <w:rPr>
          <w:rFonts w:hint="eastAsia" w:ascii="宋体" w:hAnsi="宋体"/>
          <w:b/>
          <w:color w:val="auto"/>
          <w:sz w:val="24"/>
          <w:szCs w:val="24"/>
          <w:highlight w:val="none"/>
        </w:rPr>
        <w:t xml:space="preserve">【政府采购合同专用条款】</w:t>
      </w:r>
      <w:r>
        <w:rPr>
          <w:rFonts w:hint="eastAsia" w:ascii="宋体" w:hAnsi="宋体"/>
          <w:bCs/>
          <w:color w:val="auto"/>
          <w:sz w:val="24"/>
          <w:szCs w:val="24"/>
          <w:highlight w:val="none"/>
        </w:rPr>
        <w:t xml:space="preserve">。</w:t>
      </w:r>
      <w:r/>
    </w:p>
    <w:p>
      <w:pPr>
        <w:jc w:val="left"/>
        <w:spacing w:line="400" w:lineRule="exact"/>
        <w:rPr>
          <w:rFonts w:hint="eastAsia" w:ascii="黑体" w:hAnsi="华文中宋" w:eastAsia="黑体"/>
          <w:color w:val="auto"/>
          <w:sz w:val="24"/>
          <w:szCs w:val="24"/>
          <w:highlight w:val="none"/>
        </w:rPr>
      </w:pPr>
      <w:r>
        <w:rPr>
          <w:rFonts w:hint="eastAsia" w:ascii="宋体" w:hAnsi="宋体"/>
          <w:bCs/>
          <w:color w:val="auto"/>
          <w:sz w:val="24"/>
          <w:szCs w:val="24"/>
          <w:highlight w:val="none"/>
        </w:rPr>
        <w:t xml:space="preserve">    23.2 合同附件与合同正文具有同等的法律效力。</w:t>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71"/>
      <w:r/>
      <w:r/>
    </w:p>
    <w:tbl>
      <w:tblPr>
        <w:tblStyle w:val="914"/>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170" w:type="dxa"/>
            <w:vAlign w:val="center"/>
            <w:textDirection w:val="lrTb"/>
            <w:noWrap w:val="false"/>
          </w:tcPr>
          <w:p>
            <w:pPr>
              <w:jc w:val="left"/>
              <w:rPr>
                <w:rFonts w:ascii="宋体" w:hAnsi="宋体"/>
                <w:b/>
                <w:bCs/>
                <w:color w:val="auto"/>
                <w:sz w:val="24"/>
                <w:highlight w:val="none"/>
              </w:rPr>
            </w:pPr>
            <w:r>
              <w:rPr>
                <w:rFonts w:hint="eastAsia" w:ascii="宋体" w:hAnsi="宋体" w:eastAsia="宋体" w:cs="宋体"/>
                <w:color w:val="auto"/>
                <w:sz w:val="24"/>
                <w:highlight w:val="none"/>
              </w:rPr>
              <w:t xml:space="preserve">本项目不接受联合体投标。</w:t>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eastAsia="宋体" w:cs="宋体"/>
                <w:color w:val="auto"/>
                <w:sz w:val="24"/>
                <w:highlight w:val="none"/>
              </w:rPr>
              <w:t xml:space="preserve">遵从相关法律法规规定。</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eastAsia="宋体" w:cs="宋体"/>
                <w:color w:val="auto"/>
                <w:sz w:val="24"/>
                <w:highlight w:val="none"/>
              </w:rPr>
              <w:t xml:space="preserve">全部货物到货安装完毕，乙方提出验收申请后的7日内。</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eastAsia="宋体" w:cs="宋体"/>
                <w:color w:val="auto"/>
                <w:sz w:val="24"/>
                <w:highlight w:val="none"/>
              </w:rPr>
              <w:t xml:space="preserve">参照招标文件执行，主要为：乙方履行供货义务；甲方履行验收、付款等义务；乙方履行质保义务。</w:t>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p>
            <w:pPr>
              <w:rPr>
                <w:color w:val="auto"/>
                <w:sz w:val="24"/>
                <w:highlight w:val="none"/>
              </w:rPr>
            </w:pPr>
            <w:r>
              <w:rPr>
                <w:color w:val="auto"/>
                <w:sz w:val="24"/>
                <w:highlight w:val="none"/>
              </w:rPr>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170" w:type="dxa"/>
            <w:vAlign w:val="center"/>
            <w:textDirection w:val="lrTb"/>
            <w:noWrap w:val="false"/>
          </w:tcPr>
          <w:p>
            <w:pPr>
              <w:jc w:val="left"/>
              <w:rPr>
                <w:rFonts w:hint="default" w:eastAsiaTheme="minorEastAsia"/>
                <w:color w:val="auto"/>
                <w:sz w:val="24"/>
                <w:highlight w:val="none"/>
                <w:lang w:val="en-US" w:eastAsia="zh-CN"/>
              </w:rPr>
            </w:pPr>
            <w:r>
              <w:rPr>
                <w:rFonts w:hint="eastAsia"/>
                <w:color w:val="auto"/>
                <w:sz w:val="24"/>
                <w:highlight w:val="none"/>
                <w:lang w:val="en-US" w:eastAsia="zh-CN"/>
              </w:rPr>
              <w:t xml:space="preserve">盐城市第三人民医院，具体以甲方通知为准。</w:t>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927"/>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927"/>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17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170" w:type="dxa"/>
            <w:vAlign w:val="center"/>
            <w:textDirection w:val="lrTb"/>
            <w:noWrap w:val="false"/>
          </w:tcPr>
          <w:p>
            <w:pPr>
              <w:pStyle w:val="921"/>
              <w:jc w:val="both"/>
              <w:spacing w:before="120" w:beforeAutospacing="0" w:after="120" w:afterAutospacing="0"/>
              <w:rPr>
                <w:rFonts w:ascii="宋体" w:hAnsi="宋体"/>
                <w:color w:val="auto"/>
                <w:highlight w:val="none"/>
              </w:rPr>
            </w:pPr>
            <w:r>
              <w:rPr>
                <w:rFonts w:hint="eastAsia" w:ascii="宋体" w:hAnsi="宋体"/>
                <w:color w:val="auto"/>
                <w:highlight w:val="none"/>
              </w:rPr>
              <w:t xml:space="preserve">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年</w:t>
            </w:r>
            <w:r>
              <w:rPr>
                <w:rFonts w:hint="eastAsia" w:ascii="宋体" w:hAnsi="宋体"/>
                <w:color w:val="auto"/>
                <w:highlight w:val="none"/>
              </w:rPr>
              <w:t xml:space="preserve">。（</w:t>
            </w:r>
            <w:r>
              <w:rPr>
                <w:rFonts w:hint="eastAsia" w:ascii="宋体" w:hAnsi="宋体" w:cs="宋体"/>
                <w:color w:val="auto"/>
                <w:highlight w:val="none"/>
              </w:rPr>
              <w:t xml:space="preserve">自交货验收合格之日起计），因人为因素出现的故障不在免费保修范围内。超过保修期的机器设备，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如在使用过程中发生质量问题，乙方在接到甲方通知后在_</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_小时内到达甲方现场。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789"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21"/>
              <w:spacing w:before="120" w:beforeAutospacing="0" w:after="120" w:afterAutospacing="0"/>
              <w:rPr>
                <w:rFonts w:hint="eastAsia"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78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eastAsia="宋体" w:cs="宋体"/>
                <w:color w:val="auto"/>
                <w:sz w:val="24"/>
                <w:highlight w:val="none"/>
              </w:rPr>
              <w:t xml:space="preserve">遵从相关法律法规规定。</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170" w:type="dxa"/>
            <w:vAlign w:val="center"/>
            <w:textDirection w:val="lrTb"/>
            <w:noWrap w:val="false"/>
          </w:tcPr>
          <w:p>
            <w:pPr>
              <w:jc w:val="left"/>
              <w:rPr>
                <w:color w:val="auto"/>
                <w:sz w:val="24"/>
                <w:highlight w:val="none"/>
              </w:rPr>
            </w:pPr>
            <w:r>
              <w:rPr>
                <w:rFonts w:hint="eastAsia"/>
                <w:color w:val="auto"/>
                <w:sz w:val="24"/>
                <w:highlight w:val="none"/>
              </w:rPr>
              <w:t xml:space="preserve"> </w:t>
            </w:r>
            <w:r>
              <w:rPr>
                <w:rFonts w:hint="eastAsia"/>
                <w:color w:val="auto"/>
                <w:sz w:val="24"/>
                <w:highlight w:val="none"/>
                <w:lang w:val="en-US" w:eastAsia="zh-CN"/>
              </w:rPr>
              <w:t xml:space="preserve">1.</w:t>
            </w:r>
            <w:r>
              <w:rPr>
                <w:rFonts w:hint="eastAsia"/>
                <w:color w:val="auto"/>
                <w:sz w:val="24"/>
                <w:highlight w:val="none"/>
              </w:rPr>
              <w:t xml:space="preserve">预付款支付时间：合同签订后，乙方提供预付款发票后10个工作日内，预付款支付比例：合同金额的30%。</w:t>
            </w:r>
            <w:r>
              <w:rPr>
                <w:rFonts w:hint="eastAsia"/>
                <w:color w:val="auto"/>
                <w:sz w:val="24"/>
                <w:highlight w:val="none"/>
                <w:lang w:eastAsia="zh-CN"/>
              </w:rPr>
              <w:t xml:space="preserve">（</w:t>
            </w:r>
            <w:r>
              <w:rPr>
                <w:rFonts w:hint="eastAsia"/>
                <w:color w:val="auto"/>
                <w:sz w:val="24"/>
                <w:highlight w:val="none"/>
              </w:rPr>
              <w:t xml:space="preserve">在签订合同时，中标、</w:t>
            </w:r>
            <w:r>
              <w:rPr>
                <w:rFonts w:hint="eastAsia"/>
                <w:color w:val="auto"/>
                <w:sz w:val="24"/>
                <w:highlight w:val="none"/>
                <w:lang w:val="en-US" w:eastAsia="zh-CN"/>
              </w:rPr>
              <w:t xml:space="preserve">成交供应商</w:t>
            </w:r>
            <w:r>
              <w:rPr>
                <w:rFonts w:hint="eastAsia"/>
                <w:color w:val="auto"/>
                <w:sz w:val="24"/>
                <w:highlight w:val="none"/>
              </w:rPr>
              <w:t xml:space="preserve">明确书面表示无需预付款或者主动要求降低预付款比例的，采购人可就预付款比例作相应调整。</w:t>
            </w:r>
            <w:r>
              <w:rPr>
                <w:rFonts w:hint="eastAsia"/>
                <w:color w:val="auto"/>
                <w:sz w:val="24"/>
                <w:highlight w:val="none"/>
                <w:lang w:eastAsia="zh-CN"/>
              </w:rPr>
              <w:t xml:space="preserve">）</w:t>
            </w:r>
            <w:r/>
          </w:p>
          <w:p>
            <w:pPr>
              <w:jc w:val="left"/>
              <w:rPr>
                <w:rFonts w:hint="eastAsia"/>
                <w:color w:val="auto"/>
                <w:sz w:val="24"/>
                <w:highlight w:val="none"/>
                <w:lang w:val="en-US" w:eastAsia="zh-CN"/>
              </w:rPr>
            </w:pPr>
            <w:r>
              <w:rPr>
                <w:rFonts w:hint="eastAsia"/>
                <w:color w:val="auto"/>
                <w:sz w:val="24"/>
                <w:highlight w:val="none"/>
                <w:lang w:val="en-US" w:eastAsia="zh-CN"/>
              </w:rPr>
              <w:t xml:space="preserve">2.尾款支付时间：项目初验合格后付至合同总价款的70%（包括之前支付的预付款）；初验合格满一年后付至合同总价款的90%，初验合格满三年后并经审核后进行系统终验，终验合格后支付剩余款项。</w:t>
            </w:r>
            <w:r/>
          </w:p>
          <w:p>
            <w:pPr>
              <w:jc w:val="left"/>
              <w:rPr>
                <w:color w:val="auto"/>
                <w:sz w:val="24"/>
                <w:highlight w:val="none"/>
              </w:rPr>
            </w:pPr>
            <w:r>
              <w:rPr>
                <w:rFonts w:hint="eastAsia"/>
                <w:color w:val="auto"/>
                <w:sz w:val="24"/>
                <w:highlight w:val="none"/>
              </w:rPr>
              <w:t xml:space="preserve">注：以上付款均不计任何利息和相关费用，付款一律通过银行结转。每次付款前提是乙方已提供合法票据。</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170" w:type="dxa"/>
            <w:vAlign w:val="center"/>
            <w:textDirection w:val="lrTb"/>
            <w:noWrap w:val="false"/>
          </w:tcPr>
          <w:p>
            <w:pPr>
              <w:jc w:val="left"/>
              <w:rPr>
                <w:rFonts w:hint="eastAsia"/>
                <w:color w:val="auto"/>
                <w:sz w:val="24"/>
                <w:highlight w:val="none"/>
              </w:rPr>
            </w:pPr>
            <w:r>
              <w:rPr>
                <w:rFonts w:hint="eastAsia"/>
                <w:color w:val="auto"/>
                <w:sz w:val="24"/>
                <w:highlight w:val="none"/>
              </w:rPr>
              <w:t xml:space="preserve">除不可抗力情况外，投标人出现下列情形之一的，其履约保证金，招标人将视情节决定不予退还或部分不予退还。</w:t>
            </w:r>
            <w:r/>
          </w:p>
          <w:p>
            <w:pPr>
              <w:jc w:val="left"/>
              <w:rPr>
                <w:rFonts w:hint="eastAsia"/>
                <w:color w:val="auto"/>
                <w:sz w:val="24"/>
                <w:highlight w:val="none"/>
              </w:rPr>
            </w:pPr>
            <w:r>
              <w:rPr>
                <w:rFonts w:hint="eastAsia"/>
                <w:color w:val="auto"/>
                <w:sz w:val="24"/>
                <w:highlight w:val="none"/>
              </w:rPr>
              <w:t xml:space="preserve">（1）中标人无正当理由拒绝签订合同的，或者在签订合同时向采购人提出附加条件或者更改合同实质性内容要求的；</w:t>
            </w:r>
            <w:r/>
          </w:p>
          <w:p>
            <w:pPr>
              <w:jc w:val="left"/>
              <w:rPr>
                <w:rFonts w:hint="eastAsia"/>
                <w:color w:val="auto"/>
                <w:sz w:val="24"/>
                <w:highlight w:val="none"/>
              </w:rPr>
            </w:pPr>
            <w:r>
              <w:rPr>
                <w:rFonts w:hint="eastAsia"/>
                <w:color w:val="auto"/>
                <w:sz w:val="24"/>
                <w:highlight w:val="none"/>
              </w:rPr>
              <w:t xml:space="preserve">（2）中标人不履行与采购人订立的合同的；</w:t>
            </w:r>
            <w:r/>
          </w:p>
          <w:p>
            <w:pPr>
              <w:jc w:val="left"/>
              <w:rPr>
                <w:rFonts w:hint="eastAsia"/>
                <w:color w:val="auto"/>
                <w:sz w:val="24"/>
                <w:highlight w:val="none"/>
              </w:rPr>
            </w:pPr>
            <w:r>
              <w:rPr>
                <w:rFonts w:hint="eastAsia"/>
                <w:color w:val="auto"/>
                <w:sz w:val="24"/>
                <w:highlight w:val="none"/>
              </w:rPr>
              <w:t xml:space="preserve">（3）中标人所供货物或服务不符合招标文件规定要求的；</w:t>
            </w:r>
            <w:r/>
          </w:p>
          <w:p>
            <w:pPr>
              <w:jc w:val="left"/>
              <w:rPr>
                <w:rFonts w:hint="eastAsia"/>
                <w:color w:val="auto"/>
                <w:sz w:val="24"/>
                <w:highlight w:val="none"/>
              </w:rPr>
            </w:pPr>
            <w:r>
              <w:rPr>
                <w:rFonts w:hint="eastAsia"/>
                <w:color w:val="auto"/>
                <w:sz w:val="24"/>
                <w:highlight w:val="none"/>
              </w:rPr>
              <w:t xml:space="preserve">（4）中标人采取欺骗、弄虚作假方式投标的或与</w:t>
            </w:r>
            <w:r>
              <w:rPr>
                <w:rFonts w:hint="eastAsia"/>
                <w:color w:val="auto"/>
                <w:sz w:val="24"/>
                <w:highlight w:val="none"/>
                <w:lang w:eastAsia="zh-CN"/>
              </w:rPr>
              <w:t xml:space="preserve">其他</w:t>
            </w:r>
            <w:r>
              <w:rPr>
                <w:rFonts w:hint="eastAsia"/>
                <w:color w:val="auto"/>
                <w:sz w:val="24"/>
                <w:highlight w:val="none"/>
              </w:rPr>
              <w:t xml:space="preserve">投标人串通投标的；</w:t>
            </w:r>
            <w:r/>
          </w:p>
          <w:p>
            <w:pPr>
              <w:jc w:val="left"/>
              <w:rPr>
                <w:rFonts w:hint="eastAsia"/>
                <w:color w:val="auto"/>
                <w:sz w:val="24"/>
                <w:highlight w:val="none"/>
              </w:rPr>
            </w:pPr>
            <w:r>
              <w:rPr>
                <w:rFonts w:hint="eastAsia"/>
                <w:color w:val="auto"/>
                <w:sz w:val="24"/>
                <w:highlight w:val="none"/>
              </w:rPr>
              <w:t xml:space="preserve">（5）中标人将合同内容转包、违法分包的；</w:t>
            </w:r>
            <w:r/>
          </w:p>
          <w:p>
            <w:pPr>
              <w:jc w:val="left"/>
              <w:rPr>
                <w:rFonts w:ascii="宋体" w:hAnsi="宋体"/>
                <w:color w:val="auto"/>
                <w:sz w:val="24"/>
                <w:highlight w:val="none"/>
              </w:rPr>
            </w:pPr>
            <w:r>
              <w:rPr>
                <w:rFonts w:hint="eastAsia"/>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789"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170" w:type="dxa"/>
            <w:vAlign w:val="center"/>
            <w:textDirection w:val="lrTb"/>
            <w:noWrap w:val="false"/>
          </w:tcPr>
          <w:p>
            <w:pPr>
              <w:jc w:val="left"/>
              <w:rPr>
                <w:rFonts w:hint="eastAsia"/>
                <w:color w:val="auto"/>
                <w:sz w:val="24"/>
                <w:highlight w:val="none"/>
              </w:rPr>
            </w:pPr>
            <w:r>
              <w:rPr>
                <w:rFonts w:hint="eastAsia"/>
                <w:color w:val="auto"/>
                <w:sz w:val="24"/>
                <w:highlight w:val="none"/>
              </w:rPr>
              <w:t xml:space="preserve">1、合同履行结束后，甲方应及时退还交纳的履约保证金。</w:t>
            </w:r>
            <w:r/>
          </w:p>
          <w:p>
            <w:pPr>
              <w:jc w:val="left"/>
              <w:rPr>
                <w:rFonts w:hint="eastAsia"/>
                <w:color w:val="auto"/>
                <w:sz w:val="24"/>
                <w:highlight w:val="none"/>
              </w:rPr>
            </w:pPr>
            <w:r>
              <w:rPr>
                <w:rFonts w:hint="eastAsia"/>
                <w:color w:val="auto"/>
                <w:sz w:val="24"/>
                <w:highlight w:val="none"/>
              </w:rPr>
              <w:t xml:space="preserve">2、退还方式：退还至投标人缴纳履约保证金的账户。如为保函，在到期时自行失效。</w:t>
            </w:r>
            <w:r/>
          </w:p>
          <w:p>
            <w:pPr>
              <w:jc w:val="left"/>
              <w:rPr>
                <w:rFonts w:hint="eastAsia"/>
                <w:color w:val="auto"/>
                <w:sz w:val="24"/>
                <w:highlight w:val="none"/>
              </w:rPr>
            </w:pPr>
            <w:r>
              <w:rPr>
                <w:rFonts w:hint="eastAsia"/>
                <w:color w:val="auto"/>
                <w:sz w:val="24"/>
                <w:highlight w:val="none"/>
              </w:rPr>
              <w:t xml:space="preserve">3、退还时间：验收合格且甲方收到发票后30日内。</w:t>
            </w:r>
            <w:r/>
          </w:p>
          <w:p>
            <w:pPr>
              <w:jc w:val="left"/>
              <w:rPr>
                <w:rFonts w:hint="eastAsia"/>
                <w:color w:val="auto"/>
                <w:sz w:val="24"/>
                <w:highlight w:val="none"/>
              </w:rPr>
            </w:pPr>
            <w:r>
              <w:rPr>
                <w:rFonts w:hint="eastAsia"/>
                <w:color w:val="auto"/>
                <w:sz w:val="24"/>
                <w:highlight w:val="none"/>
              </w:rPr>
              <w:t xml:space="preserve">4、退还条件：按合同要求全部履约完成并经采购人验收合格，且采购人收到中标人出具的发票。</w:t>
            </w:r>
            <w:r/>
          </w:p>
          <w:p>
            <w:pPr>
              <w:jc w:val="left"/>
              <w:rPr>
                <w:rFonts w:ascii="宋体" w:hAnsi="宋体" w:cs="宋体"/>
                <w:color w:val="auto"/>
                <w:sz w:val="24"/>
                <w:highlight w:val="none"/>
              </w:rPr>
            </w:pPr>
            <w:r>
              <w:rPr>
                <w:rFonts w:hint="eastAsia"/>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eastAsia="宋体" w:cs="宋体"/>
                <w:color w:val="auto"/>
                <w:sz w:val="24"/>
                <w:highlight w:val="none"/>
              </w:rPr>
              <w:t xml:space="preserve">约定的三年质保期和乙方额外承诺的延长期限。</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170" w:type="dxa"/>
            <w:vAlign w:val="center"/>
            <w:textDirection w:val="lrTb"/>
            <w:noWrap w:val="false"/>
          </w:tcPr>
          <w:p>
            <w:pPr>
              <w:jc w:val="left"/>
              <w:rPr>
                <w:rFonts w:hint="eastAsia"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无</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eastAsia="宋体" w:cs="宋体"/>
                <w:color w:val="auto"/>
                <w:sz w:val="24"/>
                <w:highlight w:val="none"/>
              </w:rPr>
              <w:t xml:space="preserve">提供人员培训（培训形式分为理论授课+现场实操）服务，具体以甲方要求为准。</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5170" w:type="dxa"/>
            <w:vAlign w:val="center"/>
            <w:textDirection w:val="lrTb"/>
            <w:noWrap w:val="false"/>
          </w:tcPr>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p>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170" w:type="dxa"/>
            <w:vAlign w:val="center"/>
            <w:textDirection w:val="lrTb"/>
            <w:noWrap w:val="false"/>
          </w:tcPr>
          <w:p>
            <w:pPr>
              <w:pStyle w:val="921"/>
              <w:ind w:left="410" w:hanging="410"/>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pStyle w:val="921"/>
              <w:ind w:left="410" w:hanging="410"/>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向乙方支付违约金。</w:t>
            </w:r>
            <w:r/>
          </w:p>
        </w:tc>
      </w:tr>
      <w:tr>
        <w:trPr>
          <w:trHeight w:val="5327"/>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color w:val="auto"/>
                <w:sz w:val="24"/>
                <w:highlight w:val="none"/>
                <w:u w:val="none"/>
              </w:rPr>
            </w:pPr>
            <w:r>
              <w:rPr>
                <w:rFonts w:hint="eastAsia" w:ascii="宋体" w:hAnsi="宋体"/>
                <w:color w:val="auto"/>
                <w:sz w:val="24"/>
                <w:highlight w:val="none"/>
                <w:u w:val="none"/>
                <w:lang w:val="en-US" w:eastAsia="zh-CN"/>
              </w:rPr>
              <w:t xml:space="preserve">1.</w:t>
            </w:r>
            <w:r>
              <w:rPr>
                <w:rFonts w:hint="eastAsia" w:ascii="宋体" w:hAnsi="宋体"/>
                <w:color w:val="auto"/>
                <w:sz w:val="24"/>
                <w:highlight w:val="none"/>
                <w:u w:val="none"/>
              </w:rPr>
              <w:t xml:space="preserve">甲方无正当理由拒绝接受乙方提供服务的，甲方向乙方偿付拒绝接受服务合同价款总值</w:t>
            </w:r>
            <w:bookmarkStart w:id="173" w:name="OLE_LINK5"/>
            <w:r/>
            <w:bookmarkStart w:id="174" w:name="OLE_LINK6"/>
            <w:r>
              <w:rPr>
                <w:rFonts w:hint="eastAsia" w:ascii="宋体" w:hAnsi="宋体"/>
                <w:color w:val="auto"/>
                <w:sz w:val="24"/>
                <w:highlight w:val="none"/>
                <w:u w:val="none"/>
              </w:rPr>
              <w:t xml:space="preserve"> 5% </w:t>
            </w:r>
            <w:bookmarkEnd w:id="173"/>
            <w:r/>
            <w:bookmarkEnd w:id="174"/>
            <w:r>
              <w:rPr>
                <w:rFonts w:hint="eastAsia" w:ascii="宋体" w:hAnsi="宋体"/>
                <w:color w:val="auto"/>
                <w:sz w:val="24"/>
                <w:highlight w:val="none"/>
                <w:u w:val="none"/>
              </w:rPr>
              <w:t xml:space="preserve">的违约金。</w:t>
            </w:r>
            <w:r/>
          </w:p>
          <w:p>
            <w:pPr>
              <w:jc w:val="left"/>
              <w:rPr>
                <w:rFonts w:ascii="宋体" w:hAnsi="宋体"/>
                <w:color w:val="auto"/>
                <w:sz w:val="24"/>
                <w:highlight w:val="none"/>
                <w:u w:val="none"/>
              </w:rPr>
            </w:pPr>
            <w:r>
              <w:rPr>
                <w:rFonts w:hint="eastAsia" w:ascii="宋体" w:hAnsi="宋体"/>
                <w:color w:val="auto"/>
                <w:sz w:val="24"/>
                <w:highlight w:val="none"/>
                <w:u w:val="none"/>
                <w:lang w:val="en-US" w:eastAsia="zh-CN"/>
              </w:rPr>
              <w:t xml:space="preserve">2.</w:t>
            </w:r>
            <w:r>
              <w:rPr>
                <w:rFonts w:hint="eastAsia" w:ascii="宋体" w:hAnsi="宋体"/>
                <w:color w:val="auto"/>
                <w:sz w:val="24"/>
                <w:highlight w:val="none"/>
                <w:u w:val="none"/>
              </w:rPr>
              <w:t xml:space="preserve">甲方无故逾期验收和办理合同款项支付手续的,甲方应按逾期付款总额0.1% 的每日向乙方支付违约金。</w:t>
            </w:r>
            <w:r/>
          </w:p>
          <w:p>
            <w:pPr>
              <w:jc w:val="left"/>
              <w:rPr>
                <w:rFonts w:hint="eastAsia" w:ascii="宋体" w:hAnsi="宋体"/>
                <w:color w:val="auto"/>
                <w:sz w:val="24"/>
                <w:highlight w:val="none"/>
                <w:u w:val="none"/>
              </w:rPr>
            </w:pPr>
            <w:r>
              <w:rPr>
                <w:rFonts w:hint="eastAsia" w:ascii="宋体" w:hAnsi="宋体"/>
                <w:color w:val="auto"/>
                <w:sz w:val="24"/>
                <w:highlight w:val="none"/>
                <w:u w:val="none"/>
                <w:lang w:val="en-US" w:eastAsia="zh-CN"/>
              </w:rPr>
              <w:t xml:space="preserve">3.</w:t>
            </w:r>
            <w:r>
              <w:rPr>
                <w:rFonts w:hint="eastAsia" w:ascii="宋体" w:hAnsi="宋体"/>
                <w:color w:val="auto"/>
                <w:sz w:val="24"/>
                <w:highlight w:val="none"/>
                <w:u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5% 的违约金，如造成甲方损失超过违约金的，超出部分由乙方继续承担赔偿责任。</w:t>
            </w:r>
            <w:r/>
          </w:p>
          <w:p>
            <w:pPr>
              <w:jc w:val="left"/>
              <w:rPr>
                <w:rFonts w:ascii="宋体" w:hAnsi="宋体"/>
                <w:color w:val="auto"/>
                <w:sz w:val="24"/>
                <w:highlight w:val="none"/>
                <w:u w:val="none"/>
              </w:rPr>
            </w:pPr>
            <w:r>
              <w:rPr>
                <w:rFonts w:hint="eastAsia" w:ascii="宋体" w:hAnsi="宋体"/>
                <w:color w:val="auto"/>
                <w:sz w:val="24"/>
                <w:highlight w:val="none"/>
                <w:u w:val="none"/>
                <w:lang w:val="en-US" w:eastAsia="zh-CN"/>
              </w:rPr>
              <w:t xml:space="preserve">4.</w:t>
            </w:r>
            <w:r>
              <w:rPr>
                <w:rFonts w:hint="eastAsia" w:ascii="宋体" w:hAnsi="宋体"/>
                <w:color w:val="auto"/>
                <w:sz w:val="24"/>
                <w:highlight w:val="none"/>
                <w:u w:val="none"/>
              </w:rPr>
              <w:t xml:space="preserve">乙方所提供服务的标准不符合合同规定及招标文件规定标准的，甲方有权拒绝接受服务，并可单方面解除合同。</w:t>
            </w:r>
            <w:r/>
          </w:p>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(2)</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rPr>
                <w:rFonts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日前完成供货（安装）并交付使用。</w:t>
            </w:r>
            <w:r/>
          </w:p>
          <w:p>
            <w:pPr>
              <w:jc w:val="left"/>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个月后，甲方组织对货物的质量及使用状况等进行最终验收。</w:t>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color w:val="auto"/>
                <w:sz w:val="24"/>
                <w:highlight w:val="none"/>
              </w:rPr>
            </w:pPr>
            <w:r>
              <w:rPr>
                <w:rFonts w:ascii="宋体" w:hAnsi="宋体"/>
                <w:color w:val="auto"/>
                <w:sz w:val="24"/>
                <w:highlight w:val="none"/>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315"/>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left"/>
              <w:rPr>
                <w:rFonts w:ascii="宋体" w:hAnsi="宋体"/>
                <w:bCs/>
                <w:color w:val="auto"/>
                <w:sz w:val="24"/>
                <w:highlight w:val="none"/>
              </w:rPr>
            </w:pPr>
            <w:r>
              <w:rPr>
                <w:rFonts w:ascii="宋体" w:hAnsi="宋体"/>
                <w:bCs/>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政府采购法》等有关条文执行。</w:t>
            </w:r>
            <w:r/>
          </w:p>
          <w:p>
            <w:pPr>
              <w:jc w:val="left"/>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5.验收：</w:t>
            </w:r>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.1甲方依法组织履约验收工作。</w:t>
            </w:r>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.3对于实际使用人和甲方分离的项目，甲方邀请实际使用人参与验收。</w:t>
            </w:r>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.4如有必要，甲方邀请参加本项目的其他供应商或第三方专业机构及专家参与验收，相关意见将作为验收书的参考资料。</w:t>
            </w:r>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jc w:val="left"/>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5</w:t>
            </w:r>
            <w:r>
              <w:rPr>
                <w:rFonts w:hint="default" w:ascii="宋体" w:hAnsi="宋体"/>
                <w:color w:val="auto"/>
                <w:sz w:val="24"/>
                <w:highlight w:val="none"/>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21"/>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
    </w:p>
    <w:p>
      <w:pPr>
        <w:ind w:firstLine="482"/>
        <w:jc w:val="left"/>
        <w:spacing w:line="560" w:lineRule="exact"/>
        <w:widowControl/>
        <w:rPr>
          <w:rFonts w:hint="eastAsia" w:ascii="宋体" w:hAnsi="宋体" w:eastAsia="Arial" w:cs="宋体"/>
          <w:b/>
          <w:bCs/>
          <w:color w:val="auto"/>
          <w:sz w:val="24"/>
          <w:szCs w:val="20"/>
          <w:highlight w:val="none"/>
        </w:rPr>
        <w:outlineLvl w:val="1"/>
      </w:pPr>
      <w:r/>
      <w:bookmarkStart w:id="175" w:name="_Toc120614281"/>
      <w:r>
        <w:rPr>
          <w:rFonts w:hint="eastAsia" w:ascii="宋体" w:hAnsi="宋体" w:eastAsia="Arial" w:cs="宋体"/>
          <w:b/>
          <w:bCs/>
          <w:color w:val="auto"/>
          <w:sz w:val="24"/>
          <w:szCs w:val="20"/>
          <w:highlight w:val="none"/>
        </w:rPr>
        <w:t xml:space="preserve">项目属性：服务类项目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本项目核心产品为：内网国产化超融合平台(C86)</w:t>
      </w:r>
      <w:r/>
    </w:p>
    <w:p>
      <w:pPr>
        <w:jc w:val="left"/>
        <w:spacing w:line="560" w:lineRule="exact"/>
        <w:widowControl/>
        <w:rPr>
          <w:rFonts w:hint="default" w:ascii="宋体" w:hAnsi="宋体" w:eastAsia="宋体" w:cs="宋体"/>
          <w:b w:val="0"/>
          <w:bCs w:val="0"/>
          <w:color w:val="auto"/>
          <w:sz w:val="24"/>
          <w:szCs w:val="20"/>
          <w:highlight w:val="none"/>
          <w:lang w:val="en-US" w:eastAsia="zh-CN"/>
        </w:rPr>
        <w:outlineLvl w:val="2"/>
      </w:pPr>
      <w:r>
        <w:rPr>
          <w:rFonts w:hint="eastAsia" w:ascii="宋体" w:hAnsi="宋体" w:eastAsia="宋体" w:cs="宋体"/>
          <w:b/>
          <w:bCs/>
          <w:color w:val="auto"/>
          <w:sz w:val="24"/>
          <w:szCs w:val="20"/>
          <w:highlight w:val="none"/>
          <w:lang w:val="en-US" w:eastAsia="zh-CN"/>
        </w:rPr>
        <w:t xml:space="preserve">一、项目概述</w:t>
      </w:r>
      <w:r/>
    </w:p>
    <w:p>
      <w:pPr>
        <w:ind w:firstLine="480"/>
        <w:spacing w:line="360" w:lineRule="auto"/>
        <w:rPr>
          <w:color w:val="auto"/>
          <w:highlight w:val="none"/>
        </w:rPr>
      </w:pPr>
      <w:r>
        <w:rPr>
          <w:rFonts w:hint="eastAsia" w:ascii="宋体" w:hAnsi="宋体" w:eastAsia="宋体" w:cs="宋体"/>
          <w:color w:val="auto"/>
          <w:sz w:val="24"/>
          <w:szCs w:val="24"/>
          <w:highlight w:val="none"/>
          <w:lang w:val="en-US" w:eastAsia="zh-CN"/>
        </w:rPr>
        <w:t xml:space="preserve">项目名称：盐城市三院二期附属大数据机房及肝脏健康大数据数智底座建设项目。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建设目标：</w:t>
      </w:r>
      <w:r>
        <w:rPr>
          <w:rFonts w:hint="eastAsia" w:ascii="宋体" w:hAnsi="宋体" w:eastAsia="宋体" w:cs="宋体"/>
          <w:color w:val="auto"/>
          <w:sz w:val="24"/>
          <w:szCs w:val="24"/>
          <w:highlight w:val="none"/>
          <w:lang w:val="en-US" w:eastAsia="zh-CN"/>
        </w:rPr>
        <w:t xml:space="preserve">本数智底座建设满足</w:t>
      </w:r>
      <w:r>
        <w:rPr>
          <w:rFonts w:hint="eastAsia" w:ascii="宋体" w:hAnsi="宋体" w:eastAsia="宋体" w:cs="宋体"/>
          <w:color w:val="auto"/>
          <w:sz w:val="24"/>
          <w:szCs w:val="24"/>
          <w:highlight w:val="none"/>
          <w:shd w:val="clear" w:color="auto" w:fill="ffffff"/>
        </w:rPr>
        <w:t xml:space="preserve">电子病历系统应用水平分级</w:t>
      </w:r>
      <w:r>
        <w:rPr>
          <w:rFonts w:hint="eastAsia" w:ascii="宋体" w:hAnsi="宋体" w:eastAsia="宋体" w:cs="宋体"/>
          <w:color w:val="auto"/>
          <w:sz w:val="24"/>
          <w:szCs w:val="24"/>
          <w:highlight w:val="none"/>
          <w:shd w:val="clear" w:color="auto" w:fill="ffffff"/>
          <w:lang w:val="en-US" w:eastAsia="zh-CN"/>
        </w:rPr>
        <w:t xml:space="preserve">达到六级</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医院信息互联互通标准化成熟度</w:t>
      </w:r>
      <w:r>
        <w:rPr>
          <w:rFonts w:hint="eastAsia" w:ascii="宋体" w:hAnsi="宋体" w:eastAsia="宋体" w:cs="宋体"/>
          <w:color w:val="auto"/>
          <w:sz w:val="24"/>
          <w:szCs w:val="24"/>
          <w:highlight w:val="none"/>
          <w:shd w:val="clear" w:color="auto" w:fill="ffffff"/>
          <w:lang w:val="en-US" w:eastAsia="zh-CN"/>
        </w:rPr>
        <w:t xml:space="preserve">达到</w:t>
      </w:r>
      <w:r>
        <w:rPr>
          <w:rFonts w:hint="eastAsia" w:ascii="宋体" w:hAnsi="宋体" w:eastAsia="宋体" w:cs="宋体"/>
          <w:color w:val="auto"/>
          <w:sz w:val="24"/>
          <w:szCs w:val="24"/>
          <w:highlight w:val="none"/>
          <w:lang w:val="en-US" w:eastAsia="zh-CN"/>
        </w:rPr>
        <w:t xml:space="preserve">五乙，</w:t>
      </w:r>
      <w:r>
        <w:rPr>
          <w:rFonts w:hint="eastAsia" w:ascii="宋体" w:hAnsi="宋体" w:eastAsia="宋体" w:cs="宋体"/>
          <w:color w:val="auto"/>
          <w:sz w:val="24"/>
          <w:szCs w:val="24"/>
          <w:highlight w:val="none"/>
          <w:shd w:val="clear" w:color="auto" w:fill="ffffff"/>
          <w:lang w:val="en-US" w:eastAsia="zh-CN"/>
        </w:rPr>
        <w:t xml:space="preserve">赋能</w:t>
      </w:r>
      <w:r>
        <w:rPr>
          <w:rFonts w:hint="eastAsia" w:ascii="宋体" w:hAnsi="宋体" w:eastAsia="宋体" w:cs="宋体"/>
          <w:color w:val="auto"/>
          <w:sz w:val="24"/>
          <w:szCs w:val="24"/>
          <w:highlight w:val="none"/>
          <w:lang w:val="en-US" w:eastAsia="zh-CN"/>
        </w:rPr>
        <w:t xml:space="preserve">LiverHealth国家级科</w:t>
      </w:r>
      <w:r>
        <w:rPr>
          <w:rFonts w:hint="eastAsia" w:ascii="宋体" w:hAnsi="宋体" w:eastAsia="宋体" w:cs="宋体"/>
          <w:color w:val="auto"/>
          <w:sz w:val="24"/>
          <w:szCs w:val="24"/>
          <w:highlight w:val="none"/>
          <w:shd w:val="clear" w:color="auto" w:fill="ffffff"/>
          <w:lang w:val="en-US" w:eastAsia="zh-CN"/>
        </w:rPr>
        <w:t xml:space="preserve">研项目及</w:t>
      </w:r>
      <w:r>
        <w:rPr>
          <w:rFonts w:hint="eastAsia" w:ascii="宋体" w:hAnsi="宋体" w:eastAsia="宋体" w:cs="宋体"/>
          <w:color w:val="auto"/>
          <w:sz w:val="24"/>
          <w:szCs w:val="24"/>
          <w:highlight w:val="none"/>
          <w:shd w:val="clear" w:color="auto" w:fill="ffffff"/>
        </w:rPr>
        <w:t xml:space="preserve">肝脏健康大数据中心</w:t>
      </w:r>
      <w:r>
        <w:rPr>
          <w:rFonts w:hint="eastAsia" w:ascii="宋体" w:hAnsi="宋体" w:eastAsia="宋体" w:cs="宋体"/>
          <w:color w:val="auto"/>
          <w:sz w:val="24"/>
          <w:szCs w:val="24"/>
          <w:highlight w:val="none"/>
          <w:lang w:val="en-US" w:eastAsia="zh-CN"/>
        </w:rPr>
        <w:t xml:space="preserve">科学研究，</w:t>
      </w:r>
      <w:r>
        <w:rPr>
          <w:rFonts w:hint="eastAsia" w:ascii="宋体" w:hAnsi="宋体" w:eastAsia="宋体" w:cs="宋体"/>
          <w:color w:val="auto"/>
          <w:sz w:val="24"/>
          <w:szCs w:val="24"/>
          <w:highlight w:val="none"/>
        </w:rPr>
        <w:t xml:space="preserve">机房建设等级标准符合《数据中心设计规范》（GB50174-2017）</w:t>
      </w: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级标准</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建设规模：</w:t>
      </w:r>
      <w:r>
        <w:rPr>
          <w:rFonts w:hint="eastAsia" w:ascii="宋体" w:hAnsi="宋体" w:eastAsia="宋体" w:cs="宋体"/>
          <w:color w:val="auto"/>
          <w:sz w:val="24"/>
          <w:szCs w:val="24"/>
          <w:highlight w:val="none"/>
          <w:lang w:val="en-US" w:eastAsia="zh-CN"/>
        </w:rPr>
        <w:t xml:space="preserve">盐城市第三人员医院二期附属工程1#医技综合楼4</w:t>
      </w:r>
      <w:r>
        <w:rPr>
          <w:rFonts w:hint="eastAsia" w:ascii="宋体" w:hAnsi="宋体" w:eastAsia="宋体" w:cs="宋体"/>
          <w:color w:val="auto"/>
          <w:sz w:val="24"/>
          <w:szCs w:val="24"/>
          <w:highlight w:val="none"/>
        </w:rPr>
        <w:t xml:space="preserve">层</w:t>
      </w:r>
      <w:r>
        <w:rPr>
          <w:rFonts w:hint="eastAsia" w:ascii="宋体" w:hAnsi="宋体" w:eastAsia="宋体" w:cs="宋体"/>
          <w:color w:val="auto"/>
          <w:sz w:val="24"/>
          <w:szCs w:val="24"/>
          <w:highlight w:val="none"/>
          <w:lang w:val="en-US" w:eastAsia="zh-CN"/>
        </w:rPr>
        <w:t xml:space="preserve">区域</w:t>
      </w:r>
      <w:r>
        <w:rPr>
          <w:rFonts w:hint="eastAsia" w:ascii="宋体" w:hAnsi="宋体" w:eastAsia="宋体" w:cs="宋体"/>
          <w:color w:val="auto"/>
          <w:sz w:val="24"/>
          <w:szCs w:val="24"/>
          <w:highlight w:val="none"/>
        </w:rPr>
        <w:t xml:space="preserve">作为</w:t>
      </w:r>
      <w:r>
        <w:rPr>
          <w:rFonts w:hint="eastAsia" w:ascii="宋体" w:hAnsi="宋体" w:eastAsia="宋体" w:cs="宋体"/>
          <w:color w:val="auto"/>
          <w:sz w:val="24"/>
          <w:szCs w:val="24"/>
          <w:highlight w:val="none"/>
          <w:lang w:val="en-US" w:eastAsia="zh-CN"/>
        </w:rPr>
        <w:t xml:space="preserve">大</w:t>
      </w:r>
      <w:r>
        <w:rPr>
          <w:rFonts w:hint="eastAsia" w:ascii="宋体" w:hAnsi="宋体" w:eastAsia="宋体" w:cs="宋体"/>
          <w:color w:val="auto"/>
          <w:sz w:val="24"/>
          <w:szCs w:val="24"/>
          <w:highlight w:val="none"/>
        </w:rPr>
        <w:t xml:space="preserve">数据中心</w:t>
      </w:r>
      <w:r>
        <w:rPr>
          <w:rFonts w:hint="eastAsia" w:ascii="宋体" w:hAnsi="宋体" w:eastAsia="宋体" w:cs="宋体"/>
          <w:color w:val="auto"/>
          <w:sz w:val="24"/>
          <w:szCs w:val="24"/>
          <w:highlight w:val="none"/>
          <w:lang w:val="en-US" w:eastAsia="zh-CN"/>
        </w:rPr>
        <w:t xml:space="preserve">机房</w:t>
      </w:r>
      <w:r>
        <w:rPr>
          <w:rFonts w:hint="eastAsia" w:ascii="宋体" w:hAnsi="宋体" w:eastAsia="宋体" w:cs="宋体"/>
          <w:color w:val="auto"/>
          <w:sz w:val="24"/>
          <w:szCs w:val="24"/>
          <w:highlight w:val="none"/>
        </w:rPr>
        <w:t xml:space="preserve">使用，</w:t>
      </w:r>
      <w:r>
        <w:rPr>
          <w:rFonts w:hint="eastAsia" w:ascii="宋体" w:hAnsi="宋体" w:eastAsia="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rPr>
        <w:t xml:space="preserve">数据中心</w:t>
      </w:r>
      <w:r>
        <w:rPr>
          <w:rFonts w:hint="eastAsia" w:ascii="宋体" w:hAnsi="宋体" w:eastAsia="宋体" w:cs="宋体"/>
          <w:color w:val="auto"/>
          <w:sz w:val="24"/>
          <w:szCs w:val="24"/>
          <w:highlight w:val="none"/>
          <w:lang w:val="en-US" w:eastAsia="zh-CN"/>
        </w:rPr>
        <w:t xml:space="preserve">主机房、通信接入间、配电间及电池间、监控室、缓冲值班室区域，</w:t>
      </w:r>
      <w:r>
        <w:rPr>
          <w:rFonts w:hint="eastAsia" w:ascii="宋体" w:hAnsi="宋体" w:eastAsia="宋体" w:cs="宋体"/>
          <w:color w:val="auto"/>
          <w:sz w:val="24"/>
          <w:szCs w:val="24"/>
          <w:highlight w:val="none"/>
        </w:rPr>
        <w:t xml:space="preserve">建筑面积约</w:t>
      </w:r>
      <w:r>
        <w:rPr>
          <w:rFonts w:hint="eastAsia" w:ascii="宋体" w:hAnsi="宋体" w:eastAsia="宋体" w:cs="宋体"/>
          <w:color w:val="auto"/>
          <w:sz w:val="24"/>
          <w:szCs w:val="24"/>
          <w:highlight w:val="none"/>
          <w:lang w:val="en-US" w:eastAsia="zh-CN"/>
        </w:rPr>
        <w:t xml:space="preserve">380</w:t>
      </w:r>
      <w:r>
        <w:rPr>
          <w:rFonts w:hint="eastAsia" w:ascii="宋体" w:hAnsi="宋体" w:eastAsia="宋体" w:cs="宋体"/>
          <w:color w:val="auto"/>
          <w:sz w:val="24"/>
          <w:szCs w:val="24"/>
          <w:highlight w:val="none"/>
        </w:rPr>
        <w:t xml:space="preserve">平方米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1"/>
          <w:highlight w:val="none"/>
          <w:lang w:val="en-US" w:eastAsia="zh-CN"/>
        </w:rPr>
        <w:t xml:space="preserve">1#医技综合楼5层屋面</w:t>
      </w:r>
      <w:r>
        <w:rPr>
          <w:rFonts w:hint="eastAsia" w:ascii="宋体" w:hAnsi="宋体" w:eastAsia="宋体" w:cs="宋体"/>
          <w:color w:val="auto"/>
          <w:sz w:val="24"/>
          <w:szCs w:val="24"/>
          <w:highlight w:val="none"/>
        </w:rPr>
        <w:t xml:space="preserve">楼顶</w:t>
      </w:r>
      <w:r>
        <w:rPr>
          <w:rFonts w:hint="eastAsia" w:ascii="宋体" w:hAnsi="宋体" w:eastAsia="宋体" w:cs="宋体"/>
          <w:color w:val="auto"/>
          <w:sz w:val="24"/>
          <w:szCs w:val="24"/>
          <w:highlight w:val="none"/>
          <w:lang w:val="en-US" w:eastAsia="zh-CN"/>
        </w:rPr>
        <w:t xml:space="preserve">配套室外空调区，面积约20</w:t>
      </w:r>
      <w:r>
        <w:rPr>
          <w:rFonts w:hint="eastAsia" w:ascii="宋体" w:hAnsi="宋体" w:eastAsia="宋体" w:cs="宋体"/>
          <w:color w:val="auto"/>
          <w:sz w:val="24"/>
          <w:szCs w:val="24"/>
          <w:highlight w:val="none"/>
        </w:rPr>
        <w:t xml:space="preserve">平方米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合计建筑面积共约400平方米</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建设内容：</w:t>
      </w:r>
      <w:r>
        <w:rPr>
          <w:rFonts w:hint="eastAsia" w:ascii="宋体" w:hAnsi="宋体" w:eastAsia="宋体" w:cs="宋体"/>
          <w:b w:val="0"/>
          <w:bCs/>
          <w:color w:val="auto"/>
          <w:sz w:val="24"/>
          <w:szCs w:val="21"/>
          <w:highlight w:val="none"/>
          <w:lang w:val="en-US" w:eastAsia="zh-CN"/>
        </w:rPr>
        <w:t xml:space="preserve">本次建设内容为大数据中心的信息基础设施建设，包括超融合平台系统、网络及安全系统、大数据机</w:t>
      </w:r>
      <w:r>
        <w:rPr>
          <w:rFonts w:hint="eastAsia" w:ascii="宋体" w:hAnsi="宋体" w:eastAsia="宋体" w:cs="宋体"/>
          <w:b w:val="0"/>
          <w:bCs/>
          <w:color w:val="auto"/>
          <w:sz w:val="24"/>
          <w:szCs w:val="24"/>
          <w:highlight w:val="none"/>
          <w:lang w:val="en-US" w:eastAsia="zh-CN"/>
        </w:rPr>
        <w:t xml:space="preserve">房建设、监控室建设、数字运维管理平台系统、数据中心搬迁等</w:t>
      </w:r>
      <w:r>
        <w:rPr>
          <w:rFonts w:hint="eastAsia" w:ascii="宋体" w:hAnsi="宋体" w:eastAsia="宋体" w:cs="宋体"/>
          <w:color w:val="auto"/>
          <w:sz w:val="24"/>
          <w:szCs w:val="24"/>
          <w:highlight w:val="none"/>
          <w:lang w:val="en-US" w:eastAsia="zh-CN"/>
        </w:rPr>
        <w:t xml:space="preserve">。</w:t>
      </w:r>
      <w:r/>
    </w:p>
    <w:p>
      <w:pPr>
        <w:numPr>
          <w:ilvl w:val="0"/>
          <w:numId w:val="0"/>
        </w:numPr>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二、技术要求说明</w:t>
      </w:r>
      <w:r/>
    </w:p>
    <w:p>
      <w:pPr>
        <w:spacing w:line="360" w:lineRule="auto"/>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1、超融合平台</w:t>
      </w:r>
      <w:r/>
    </w:p>
    <w:p>
      <w:pPr>
        <w:ind w:firstLine="480"/>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超融合平台整合计算、存储、网络等IT资源，形成统一管理的资源池，提供高效、灵活的数据中心解决方案。包括内网及外网两部分，每部分均包括国产化超融合硬件及软件平台，为医院信息系统和</w:t>
      </w:r>
      <w:r>
        <w:rPr>
          <w:rFonts w:hint="eastAsia" w:ascii="宋体" w:hAnsi="宋体" w:eastAsia="宋体" w:cs="宋体"/>
          <w:color w:val="auto"/>
          <w:sz w:val="24"/>
          <w:szCs w:val="24"/>
          <w:highlight w:val="none"/>
          <w:lang w:val="en-US" w:eastAsia="zh-CN"/>
        </w:rPr>
        <w:t xml:space="preserve">肝脏健康大数据数智底座</w:t>
      </w:r>
      <w:r>
        <w:rPr>
          <w:rFonts w:hint="eastAsia" w:ascii="宋体" w:hAnsi="宋体" w:eastAsia="宋体" w:cs="宋体"/>
          <w:color w:val="auto"/>
          <w:sz w:val="24"/>
          <w:szCs w:val="24"/>
          <w:highlight w:val="none"/>
          <w:lang w:val="en-US" w:eastAsia="zh-CN" w:bidi="ar"/>
        </w:rPr>
        <w:t xml:space="preserve">提供计算、存储、内存资源。</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
        </w:rPr>
        <w:t xml:space="preserve">其中</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rPr>
        <w:t xml:space="preserve">内网区</w:t>
      </w:r>
      <w:r>
        <w:rPr>
          <w:rFonts w:hint="eastAsia" w:ascii="宋体" w:hAnsi="宋体" w:eastAsia="宋体" w:cs="宋体"/>
          <w:b w:val="0"/>
          <w:bCs w:val="0"/>
          <w:color w:val="auto"/>
          <w:sz w:val="24"/>
          <w:szCs w:val="24"/>
          <w:highlight w:val="none"/>
          <w:lang w:bidi="ar"/>
        </w:rPr>
        <w:t xml:space="preserve">建设的</w:t>
      </w:r>
      <w:r>
        <w:rPr>
          <w:rFonts w:hint="default" w:ascii="Times New Roman" w:hAnsi="Times New Roman" w:eastAsia="宋体" w:cs="Times New Roman"/>
          <w:b w:val="0"/>
          <w:bCs w:val="0"/>
          <w:color w:val="auto"/>
          <w:sz w:val="24"/>
          <w:szCs w:val="21"/>
          <w:highlight w:val="none"/>
          <w:lang w:val="en-US" w:eastAsia="zh-CN" w:bidi="ar-SA"/>
        </w:rPr>
        <w:t xml:space="preserve">ARM架构</w:t>
      </w:r>
      <w:r>
        <w:rPr>
          <w:rFonts w:hint="eastAsia" w:ascii="宋体" w:hAnsi="宋体" w:eastAsia="宋体" w:cs="宋体"/>
          <w:b w:val="0"/>
          <w:bCs w:val="0"/>
          <w:color w:val="auto"/>
          <w:sz w:val="24"/>
          <w:szCs w:val="24"/>
          <w:highlight w:val="none"/>
          <w:lang w:bidi="ar"/>
        </w:rPr>
        <w:t xml:space="preserve">资源为</w:t>
      </w:r>
      <w:r>
        <w:rPr>
          <w:rFonts w:hint="eastAsia" w:ascii="宋体" w:hAnsi="宋体" w:eastAsia="宋体" w:cs="宋体"/>
          <w:b w:val="0"/>
          <w:bCs w:val="0"/>
          <w:color w:val="auto"/>
          <w:sz w:val="24"/>
          <w:szCs w:val="24"/>
          <w:highlight w:val="none"/>
          <w:lang w:val="en-US" w:eastAsia="zh-CN" w:bidi="ar"/>
        </w:rPr>
        <w:t xml:space="preserve">1728</w:t>
      </w:r>
      <w:r>
        <w:rPr>
          <w:rFonts w:hint="eastAsia" w:ascii="宋体" w:hAnsi="宋体" w:eastAsia="宋体" w:cs="宋体"/>
          <w:b w:val="0"/>
          <w:bCs w:val="0"/>
          <w:color w:val="auto"/>
          <w:sz w:val="24"/>
          <w:szCs w:val="24"/>
          <w:highlight w:val="none"/>
          <w:lang w:bidi="ar"/>
        </w:rPr>
        <w:t xml:space="preserve">v</w:t>
      </w:r>
      <w:r>
        <w:rPr>
          <w:rFonts w:hint="eastAsia" w:ascii="宋体" w:hAnsi="宋体" w:eastAsia="宋体" w:cs="宋体"/>
          <w:b w:val="0"/>
          <w:bCs w:val="0"/>
          <w:color w:val="auto"/>
          <w:sz w:val="24"/>
          <w:szCs w:val="24"/>
          <w:highlight w:val="none"/>
          <w:lang w:val="en-US" w:eastAsia="zh-CN" w:bidi="ar"/>
        </w:rPr>
        <w:t xml:space="preserve">CPU</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2304</w:t>
      </w:r>
      <w:r>
        <w:rPr>
          <w:rFonts w:hint="eastAsia" w:ascii="宋体" w:hAnsi="宋体" w:eastAsia="宋体" w:cs="宋体"/>
          <w:b w:val="0"/>
          <w:bCs w:val="0"/>
          <w:color w:val="auto"/>
          <w:sz w:val="24"/>
          <w:szCs w:val="24"/>
          <w:highlight w:val="none"/>
          <w:lang w:bidi="ar"/>
        </w:rPr>
        <w:t xml:space="preserve">GB内存、</w:t>
      </w:r>
      <w:r>
        <w:rPr>
          <w:rFonts w:hint="eastAsia" w:ascii="宋体" w:hAnsi="宋体" w:eastAsia="宋体" w:cs="宋体"/>
          <w:b w:val="0"/>
          <w:bCs w:val="0"/>
          <w:color w:val="auto"/>
          <w:sz w:val="24"/>
          <w:szCs w:val="24"/>
          <w:highlight w:val="none"/>
          <w:lang w:val="en-US" w:eastAsia="zh-CN" w:bidi="ar"/>
        </w:rPr>
        <w:t xml:space="preserve">200</w:t>
      </w:r>
      <w:r>
        <w:rPr>
          <w:rFonts w:hint="eastAsia" w:ascii="宋体" w:hAnsi="宋体" w:eastAsia="宋体" w:cs="宋体"/>
          <w:b w:val="0"/>
          <w:bCs w:val="0"/>
          <w:color w:val="auto"/>
          <w:sz w:val="24"/>
          <w:szCs w:val="24"/>
          <w:highlight w:val="none"/>
          <w:lang w:bidi="ar"/>
        </w:rPr>
        <w:t xml:space="preserve">TB存储</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shd w:val="clear" w:color="auto" w:fill="ffffff"/>
          <w:lang w:val="en-US" w:eastAsia="zh-CN"/>
        </w:rPr>
        <w:t xml:space="preserve">内网区</w:t>
      </w:r>
      <w:r>
        <w:rPr>
          <w:rFonts w:hint="eastAsia" w:ascii="宋体" w:hAnsi="宋体" w:eastAsia="宋体" w:cs="Times New Roman"/>
          <w:b w:val="0"/>
          <w:bCs w:val="0"/>
          <w:color w:val="auto"/>
          <w:sz w:val="24"/>
          <w:szCs w:val="21"/>
          <w:highlight w:val="none"/>
          <w:lang w:val="en-US" w:eastAsia="zh-CN" w:bidi="ar-SA"/>
        </w:rPr>
        <w:t xml:space="preserve">采用6台ARM架构超融合一体机；</w:t>
      </w:r>
      <w:r>
        <w:rPr>
          <w:rFonts w:hint="eastAsia" w:ascii="宋体" w:hAnsi="宋体" w:eastAsia="宋体" w:cs="宋体"/>
          <w:b w:val="0"/>
          <w:bCs w:val="0"/>
          <w:color w:val="auto"/>
          <w:sz w:val="24"/>
          <w:szCs w:val="24"/>
          <w:highlight w:val="none"/>
          <w:lang w:val="en-US" w:eastAsia="zh-CN" w:bidi="ar"/>
        </w:rPr>
        <w:t xml:space="preserve">内网区</w:t>
      </w:r>
      <w:r>
        <w:rPr>
          <w:rFonts w:hint="eastAsia" w:ascii="宋体" w:hAnsi="宋体" w:eastAsia="宋体" w:cs="宋体"/>
          <w:b w:val="0"/>
          <w:bCs w:val="0"/>
          <w:color w:val="auto"/>
          <w:sz w:val="24"/>
          <w:szCs w:val="24"/>
          <w:highlight w:val="none"/>
          <w:lang w:bidi="ar"/>
        </w:rPr>
        <w:t xml:space="preserve">建设的</w:t>
      </w:r>
      <w:r>
        <w:rPr>
          <w:rFonts w:hint="eastAsia" w:ascii="Times New Roman" w:hAnsi="Times New Roman" w:eastAsia="宋体" w:cs="Times New Roman"/>
          <w:b w:val="0"/>
          <w:bCs w:val="0"/>
          <w:color w:val="auto"/>
          <w:sz w:val="24"/>
          <w:szCs w:val="21"/>
          <w:highlight w:val="none"/>
          <w:lang w:val="en-US" w:eastAsia="zh-CN" w:bidi="ar-SA"/>
        </w:rPr>
        <w:t xml:space="preserve">C86</w:t>
      </w:r>
      <w:r>
        <w:rPr>
          <w:rFonts w:hint="default" w:ascii="Times New Roman" w:hAnsi="Times New Roman" w:eastAsia="宋体" w:cs="Times New Roman"/>
          <w:b w:val="0"/>
          <w:bCs w:val="0"/>
          <w:color w:val="auto"/>
          <w:sz w:val="24"/>
          <w:szCs w:val="21"/>
          <w:highlight w:val="none"/>
          <w:lang w:val="en-US" w:eastAsia="zh-CN" w:bidi="ar-SA"/>
        </w:rPr>
        <w:t xml:space="preserve">架构</w:t>
      </w:r>
      <w:r>
        <w:rPr>
          <w:rFonts w:hint="eastAsia" w:ascii="宋体" w:hAnsi="宋体" w:eastAsia="宋体" w:cs="宋体"/>
          <w:b w:val="0"/>
          <w:bCs w:val="0"/>
          <w:color w:val="auto"/>
          <w:sz w:val="24"/>
          <w:szCs w:val="24"/>
          <w:highlight w:val="none"/>
          <w:lang w:bidi="ar"/>
        </w:rPr>
        <w:t xml:space="preserve">资源为</w:t>
      </w:r>
      <w:r>
        <w:rPr>
          <w:rFonts w:hint="eastAsia" w:ascii="宋体" w:hAnsi="宋体" w:eastAsia="宋体" w:cs="宋体"/>
          <w:b w:val="0"/>
          <w:bCs w:val="0"/>
          <w:color w:val="auto"/>
          <w:sz w:val="24"/>
          <w:szCs w:val="24"/>
          <w:highlight w:val="none"/>
          <w:lang w:val="en-US" w:eastAsia="zh-CN" w:bidi="ar"/>
        </w:rPr>
        <w:t xml:space="preserve">1920</w:t>
      </w:r>
      <w:r>
        <w:rPr>
          <w:rFonts w:hint="eastAsia" w:ascii="宋体" w:hAnsi="宋体" w:eastAsia="宋体" w:cs="宋体"/>
          <w:b w:val="0"/>
          <w:bCs w:val="0"/>
          <w:color w:val="auto"/>
          <w:sz w:val="24"/>
          <w:szCs w:val="24"/>
          <w:highlight w:val="none"/>
          <w:lang w:bidi="ar"/>
        </w:rPr>
        <w:t xml:space="preserve">v</w:t>
      </w:r>
      <w:r>
        <w:rPr>
          <w:rFonts w:hint="eastAsia" w:ascii="宋体" w:hAnsi="宋体" w:eastAsia="宋体" w:cs="宋体"/>
          <w:b w:val="0"/>
          <w:bCs w:val="0"/>
          <w:color w:val="auto"/>
          <w:sz w:val="24"/>
          <w:szCs w:val="24"/>
          <w:highlight w:val="none"/>
          <w:lang w:val="en-US" w:eastAsia="zh-CN" w:bidi="ar"/>
        </w:rPr>
        <w:t xml:space="preserve">CPU</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2560</w:t>
      </w:r>
      <w:r>
        <w:rPr>
          <w:rFonts w:hint="eastAsia" w:ascii="宋体" w:hAnsi="宋体" w:eastAsia="宋体" w:cs="宋体"/>
          <w:b w:val="0"/>
          <w:bCs w:val="0"/>
          <w:color w:val="auto"/>
          <w:sz w:val="24"/>
          <w:szCs w:val="24"/>
          <w:highlight w:val="none"/>
          <w:lang w:bidi="ar"/>
        </w:rPr>
        <w:t xml:space="preserve">GB内存、</w:t>
      </w:r>
      <w:r>
        <w:rPr>
          <w:rFonts w:hint="eastAsia" w:ascii="宋体" w:hAnsi="宋体" w:eastAsia="宋体" w:cs="宋体"/>
          <w:b w:val="0"/>
          <w:bCs w:val="0"/>
          <w:color w:val="auto"/>
          <w:sz w:val="24"/>
          <w:szCs w:val="24"/>
          <w:highlight w:val="none"/>
          <w:lang w:val="en-US" w:eastAsia="zh-CN" w:bidi="ar"/>
        </w:rPr>
        <w:t xml:space="preserve">500</w:t>
      </w:r>
      <w:r>
        <w:rPr>
          <w:rFonts w:hint="eastAsia" w:ascii="宋体" w:hAnsi="宋体" w:eastAsia="宋体" w:cs="宋体"/>
          <w:b w:val="0"/>
          <w:bCs w:val="0"/>
          <w:color w:val="auto"/>
          <w:sz w:val="24"/>
          <w:szCs w:val="24"/>
          <w:highlight w:val="none"/>
          <w:lang w:bidi="ar"/>
        </w:rPr>
        <w:t xml:space="preserve">TB存储</w:t>
      </w:r>
      <w:r>
        <w:rPr>
          <w:rFonts w:hint="eastAsia" w:ascii="宋体" w:hAnsi="宋体" w:eastAsia="宋体" w:cs="宋体"/>
          <w:b w:val="0"/>
          <w:bCs w:val="0"/>
          <w:color w:val="auto"/>
          <w:sz w:val="24"/>
          <w:szCs w:val="24"/>
          <w:highlight w:val="none"/>
          <w:lang w:eastAsia="zh-CN" w:bidi="ar"/>
        </w:rPr>
        <w:t xml:space="preserve">，</w:t>
      </w:r>
      <w:r>
        <w:rPr>
          <w:rFonts w:hint="default" w:ascii="宋体" w:hAnsi="宋体" w:eastAsia="宋体" w:cs="Times New Roman"/>
          <w:b w:val="0"/>
          <w:bCs w:val="0"/>
          <w:color w:val="auto"/>
          <w:sz w:val="24"/>
          <w:szCs w:val="21"/>
          <w:highlight w:val="none"/>
          <w:lang w:val="en-US" w:eastAsia="zh-CN" w:bidi="ar-SA"/>
        </w:rPr>
        <w:t xml:space="preserve">内网</w:t>
      </w:r>
      <w:r>
        <w:rPr>
          <w:rFonts w:hint="eastAsia" w:ascii="宋体" w:hAnsi="宋体" w:eastAsia="宋体" w:cs="Times New Roman"/>
          <w:b w:val="0"/>
          <w:bCs w:val="0"/>
          <w:color w:val="auto"/>
          <w:sz w:val="24"/>
          <w:szCs w:val="21"/>
          <w:highlight w:val="none"/>
          <w:lang w:val="en-US" w:eastAsia="zh-CN" w:bidi="ar-SA"/>
        </w:rPr>
        <w:t xml:space="preserve">区</w:t>
      </w:r>
      <w:r>
        <w:rPr>
          <w:rFonts w:hint="default" w:ascii="宋体" w:hAnsi="宋体" w:eastAsia="宋体" w:cs="Times New Roman"/>
          <w:b w:val="0"/>
          <w:bCs w:val="0"/>
          <w:color w:val="auto"/>
          <w:sz w:val="24"/>
          <w:szCs w:val="21"/>
          <w:highlight w:val="none"/>
          <w:lang w:val="en-US" w:eastAsia="zh-CN" w:bidi="ar-SA"/>
        </w:rPr>
        <w:t xml:space="preserve">采用</w:t>
      </w:r>
      <w:r>
        <w:rPr>
          <w:rFonts w:hint="eastAsia" w:ascii="宋体" w:hAnsi="宋体" w:eastAsia="宋体" w:cs="Times New Roman"/>
          <w:b w:val="0"/>
          <w:bCs w:val="0"/>
          <w:color w:val="auto"/>
          <w:sz w:val="24"/>
          <w:szCs w:val="21"/>
          <w:highlight w:val="none"/>
          <w:lang w:val="en-US" w:eastAsia="zh-CN" w:bidi="ar-SA"/>
        </w:rPr>
        <w:t xml:space="preserve">5台C86架构超融合节点。内网超融合软硬件平台用于承载核心业务系统及南院老数据中心的部分内网业务系统。</w:t>
      </w:r>
      <w:r/>
    </w:p>
    <w:p>
      <w:pPr>
        <w:ind w:left="0" w:firstLine="480"/>
        <w:jc w:val="both"/>
        <w:spacing w:before="0" w:after="0" w:line="360" w:lineRule="auto"/>
        <w:widowControl w:val="off"/>
        <w:rPr>
          <w:rFonts w:hint="default" w:ascii="宋体" w:hAnsi="宋体" w:eastAsia="宋体" w:cs="Times New Roman"/>
          <w:b w:val="0"/>
          <w:bCs w:val="0"/>
          <w:color w:val="auto"/>
          <w:sz w:val="24"/>
          <w:szCs w:val="21"/>
          <w:highlight w:val="none"/>
          <w:lang w:val="en-US" w:eastAsia="zh-CN" w:bidi="ar-SA"/>
        </w:rPr>
      </w:pPr>
      <w:r>
        <w:rPr>
          <w:rFonts w:hint="eastAsia" w:ascii="宋体" w:hAnsi="宋体" w:eastAsia="宋体" w:cs="宋体"/>
          <w:b w:val="0"/>
          <w:bCs w:val="0"/>
          <w:color w:val="auto"/>
          <w:sz w:val="24"/>
          <w:szCs w:val="24"/>
          <w:highlight w:val="none"/>
          <w:lang w:val="en-US" w:eastAsia="zh-CN" w:bidi="ar"/>
        </w:rPr>
        <w:t xml:space="preserve">外网区</w:t>
      </w:r>
      <w:r>
        <w:rPr>
          <w:rFonts w:hint="eastAsia" w:ascii="宋体" w:hAnsi="宋体" w:eastAsia="宋体" w:cs="宋体"/>
          <w:b w:val="0"/>
          <w:bCs w:val="0"/>
          <w:color w:val="auto"/>
          <w:sz w:val="24"/>
          <w:szCs w:val="24"/>
          <w:highlight w:val="none"/>
          <w:lang w:bidi="ar"/>
        </w:rPr>
        <w:t xml:space="preserve">建设的</w:t>
      </w:r>
      <w:r>
        <w:rPr>
          <w:rFonts w:hint="eastAsia" w:ascii="Times New Roman" w:hAnsi="Times New Roman" w:eastAsia="宋体" w:cs="Times New Roman"/>
          <w:b w:val="0"/>
          <w:bCs w:val="0"/>
          <w:color w:val="auto"/>
          <w:sz w:val="24"/>
          <w:szCs w:val="21"/>
          <w:highlight w:val="none"/>
          <w:lang w:val="en-US" w:eastAsia="zh-CN" w:bidi="ar-SA"/>
        </w:rPr>
        <w:t xml:space="preserve">C86</w:t>
      </w:r>
      <w:r>
        <w:rPr>
          <w:rFonts w:hint="default" w:ascii="Times New Roman" w:hAnsi="Times New Roman" w:eastAsia="宋体" w:cs="Times New Roman"/>
          <w:b w:val="0"/>
          <w:bCs w:val="0"/>
          <w:color w:val="auto"/>
          <w:sz w:val="24"/>
          <w:szCs w:val="21"/>
          <w:highlight w:val="none"/>
          <w:lang w:val="en-US" w:eastAsia="zh-CN" w:bidi="ar-SA"/>
        </w:rPr>
        <w:t xml:space="preserve">架构</w:t>
      </w:r>
      <w:r>
        <w:rPr>
          <w:rFonts w:hint="eastAsia" w:ascii="宋体" w:hAnsi="宋体" w:eastAsia="宋体" w:cs="宋体"/>
          <w:b w:val="0"/>
          <w:bCs w:val="0"/>
          <w:color w:val="auto"/>
          <w:sz w:val="24"/>
          <w:szCs w:val="24"/>
          <w:highlight w:val="none"/>
          <w:lang w:bidi="ar"/>
        </w:rPr>
        <w:t xml:space="preserve">资源为</w:t>
      </w:r>
      <w:r>
        <w:rPr>
          <w:rFonts w:hint="eastAsia" w:ascii="宋体" w:hAnsi="宋体" w:eastAsia="宋体" w:cs="宋体"/>
          <w:b w:val="0"/>
          <w:bCs w:val="0"/>
          <w:color w:val="auto"/>
          <w:sz w:val="24"/>
          <w:szCs w:val="24"/>
          <w:highlight w:val="none"/>
          <w:lang w:val="en-US" w:eastAsia="zh-CN"/>
        </w:rPr>
        <w:t xml:space="preserve">540vCPU、768G内存</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Times New Roman"/>
          <w:b w:val="0"/>
          <w:bCs w:val="0"/>
          <w:color w:val="auto"/>
          <w:sz w:val="24"/>
          <w:szCs w:val="21"/>
          <w:highlight w:val="none"/>
          <w:lang w:val="en-US" w:eastAsia="zh-CN" w:bidi="ar-SA"/>
        </w:rPr>
        <w:t xml:space="preserve">外</w:t>
      </w:r>
      <w:r>
        <w:rPr>
          <w:rFonts w:hint="default" w:ascii="宋体" w:hAnsi="宋体" w:eastAsia="宋体" w:cs="Times New Roman"/>
          <w:b w:val="0"/>
          <w:bCs w:val="0"/>
          <w:color w:val="auto"/>
          <w:sz w:val="24"/>
          <w:szCs w:val="21"/>
          <w:highlight w:val="none"/>
          <w:lang w:val="en-US" w:eastAsia="zh-CN" w:bidi="ar-SA"/>
        </w:rPr>
        <w:t xml:space="preserve">网</w:t>
      </w:r>
      <w:r>
        <w:rPr>
          <w:rFonts w:hint="eastAsia" w:ascii="宋体" w:hAnsi="宋体" w:eastAsia="宋体" w:cs="Times New Roman"/>
          <w:b w:val="0"/>
          <w:bCs w:val="0"/>
          <w:color w:val="auto"/>
          <w:sz w:val="24"/>
          <w:szCs w:val="21"/>
          <w:highlight w:val="none"/>
          <w:lang w:val="en-US" w:eastAsia="zh-CN" w:bidi="ar-SA"/>
        </w:rPr>
        <w:t xml:space="preserve">区</w:t>
      </w:r>
      <w:r>
        <w:rPr>
          <w:rFonts w:hint="default" w:ascii="宋体" w:hAnsi="宋体" w:eastAsia="宋体" w:cs="Times New Roman"/>
          <w:b w:val="0"/>
          <w:bCs w:val="0"/>
          <w:color w:val="auto"/>
          <w:sz w:val="24"/>
          <w:szCs w:val="21"/>
          <w:highlight w:val="none"/>
          <w:lang w:val="en-US" w:eastAsia="zh-CN" w:bidi="ar-SA"/>
        </w:rPr>
        <w:t xml:space="preserve">采用</w:t>
      </w:r>
      <w:r>
        <w:rPr>
          <w:rFonts w:hint="eastAsia" w:ascii="宋体" w:hAnsi="宋体" w:eastAsia="宋体" w:cs="Times New Roman"/>
          <w:b w:val="0"/>
          <w:bCs w:val="0"/>
          <w:color w:val="auto"/>
          <w:sz w:val="24"/>
          <w:szCs w:val="21"/>
          <w:highlight w:val="none"/>
          <w:lang w:val="en-US" w:eastAsia="zh-CN" w:bidi="ar-SA"/>
        </w:rPr>
        <w:t xml:space="preserve">3台C86架构超融合节点。外网超融合软硬件平台用于承载</w:t>
      </w:r>
      <w:r>
        <w:rPr>
          <w:rFonts w:hint="default" w:ascii="宋体" w:hAnsi="宋体" w:eastAsia="宋体" w:cs="Times New Roman"/>
          <w:color w:val="auto"/>
          <w:sz w:val="24"/>
          <w:szCs w:val="21"/>
          <w:highlight w:val="none"/>
          <w:lang w:val="en-US" w:eastAsia="zh-CN" w:bidi="ar-SA"/>
        </w:rPr>
        <w:t xml:space="preserve">外网业务系统</w:t>
      </w:r>
      <w:r>
        <w:rPr>
          <w:rFonts w:hint="eastAsia" w:ascii="宋体" w:hAnsi="宋体" w:eastAsia="宋体" w:cs="Times New Roman"/>
          <w:color w:val="auto"/>
          <w:sz w:val="24"/>
          <w:szCs w:val="21"/>
          <w:highlight w:val="none"/>
          <w:lang w:val="en-US" w:eastAsia="zh-CN" w:bidi="ar-SA"/>
        </w:rPr>
        <w:t xml:space="preserve">。</w:t>
      </w:r>
      <w:r/>
    </w:p>
    <w:p>
      <w:pPr>
        <w:spacing w:line="360" w:lineRule="auto"/>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2、网络及安全系统</w:t>
      </w:r>
      <w:r/>
    </w:p>
    <w:p>
      <w:pPr>
        <w:ind w:left="0" w:firstLine="480"/>
        <w:jc w:val="both"/>
        <w:spacing w:before="0" w:after="0" w:line="360" w:lineRule="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宋体"/>
          <w:color w:val="auto"/>
          <w:sz w:val="24"/>
          <w:szCs w:val="24"/>
          <w:highlight w:val="none"/>
          <w:shd w:val="clear" w:color="auto" w:fill="ffffff"/>
        </w:rPr>
        <w:t xml:space="preserve">本次网络建设旨在优化医院网络架构，提升核心业务交互效</w:t>
      </w:r>
      <w:r>
        <w:rPr>
          <w:rFonts w:hint="eastAsia" w:ascii="宋体" w:hAnsi="宋体" w:eastAsia="宋体" w:cs="宋体"/>
          <w:color w:val="auto"/>
          <w:sz w:val="24"/>
          <w:szCs w:val="24"/>
          <w:highlight w:val="none"/>
          <w:shd w:val="clear" w:color="auto" w:fill="ffffff"/>
          <w:lang w:val="en-US" w:eastAsia="zh-CN"/>
        </w:rPr>
        <w:t xml:space="preserve">能</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bCs/>
          <w:color w:val="auto"/>
          <w:sz w:val="24"/>
          <w:szCs w:val="24"/>
          <w:highlight w:val="none"/>
          <w:lang w:val="en-US" w:eastAsia="zh-CN"/>
        </w:rPr>
        <w:t xml:space="preserve">整体网络划分为内网、外网和设备网，物理隔离独立组网。</w:t>
      </w:r>
      <w:r>
        <w:rPr>
          <w:rFonts w:hint="eastAsia" w:ascii="宋体" w:hAnsi="宋体" w:eastAsia="宋体" w:cs="宋体"/>
          <w:color w:val="auto"/>
          <w:sz w:val="24"/>
          <w:szCs w:val="24"/>
          <w:highlight w:val="none"/>
          <w:shd w:val="clear" w:color="auto" w:fill="ffffff"/>
          <w:lang w:val="en-US" w:eastAsia="zh-CN"/>
        </w:rPr>
        <w:t xml:space="preserve">本次在原有架构的基础上，对新建大数据中心及信息安全系统进行更全面的安全架构建设</w:t>
      </w:r>
      <w:r>
        <w:rPr>
          <w:rFonts w:hint="eastAsia" w:ascii="宋体" w:hAnsi="宋体" w:eastAsia="宋体" w:cs="宋体"/>
          <w:color w:val="auto"/>
          <w:sz w:val="24"/>
          <w:szCs w:val="24"/>
          <w:highlight w:val="none"/>
          <w:shd w:val="clear" w:color="auto" w:fill="ffffff"/>
        </w:rPr>
        <w:t xml:space="preserve">，在满足等级保护建设合规性要求的前提下，实现网络安全的动态防御。</w:t>
      </w:r>
      <w:r>
        <w:rPr>
          <w:rFonts w:hint="eastAsia" w:ascii="Times New Roman" w:hAnsi="Times New Roman" w:eastAsia="宋体" w:cs="Times New Roman"/>
          <w:color w:val="auto"/>
          <w:sz w:val="24"/>
          <w:szCs w:val="24"/>
          <w:highlight w:val="none"/>
          <w:lang w:val="en-US" w:eastAsia="zh-CN"/>
        </w:rPr>
        <w:t xml:space="preserve">同时，信息安全设备系统按需实现</w:t>
      </w:r>
      <w:r>
        <w:rPr>
          <w:rFonts w:hint="eastAsia" w:ascii="宋体" w:hAnsi="宋体" w:eastAsia="宋体" w:cs="Times New Roman"/>
          <w:b w:val="0"/>
          <w:bCs w:val="0"/>
          <w:color w:val="auto"/>
          <w:sz w:val="24"/>
          <w:szCs w:val="21"/>
          <w:highlight w:val="none"/>
          <w:lang w:val="en-US" w:eastAsia="zh-CN" w:bidi="ar-SA"/>
        </w:rPr>
        <w:t xml:space="preserve">国产自主可控，满足</w:t>
      </w:r>
      <w:r>
        <w:rPr>
          <w:rFonts w:hint="eastAsia" w:ascii="Times New Roman" w:hAnsi="Times New Roman" w:eastAsia="宋体" w:cs="Times New Roman"/>
          <w:color w:val="auto"/>
          <w:sz w:val="24"/>
          <w:szCs w:val="24"/>
          <w:highlight w:val="none"/>
          <w:lang w:val="en-US" w:eastAsia="zh-CN"/>
        </w:rPr>
        <w:t xml:space="preserve">国产化要求</w:t>
      </w:r>
      <w:r>
        <w:rPr>
          <w:rFonts w:hint="eastAsia" w:ascii="宋体" w:hAnsi="宋体" w:eastAsia="宋体" w:cs="Times New Roman"/>
          <w:b w:val="0"/>
          <w:bCs w:val="0"/>
          <w:color w:val="auto"/>
          <w:sz w:val="24"/>
          <w:szCs w:val="21"/>
          <w:highlight w:val="none"/>
          <w:lang w:val="en-US" w:eastAsia="zh-CN" w:bidi="ar-SA"/>
        </w:rPr>
        <w:t xml:space="preserve">。</w:t>
      </w:r>
      <w:r/>
    </w:p>
    <w:p>
      <w:pPr>
        <w:ind w:left="0" w:firstLine="480"/>
        <w:jc w:val="both"/>
        <w:spacing w:before="0" w:after="0" w:line="360" w:lineRule="auto"/>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南院新</w:t>
      </w:r>
      <w:r>
        <w:rPr>
          <w:rFonts w:hint="eastAsia" w:ascii="宋体" w:hAnsi="宋体" w:eastAsia="宋体" w:cs="宋体"/>
          <w:color w:val="auto"/>
          <w:sz w:val="24"/>
          <w:szCs w:val="24"/>
          <w:highlight w:val="none"/>
          <w:shd w:val="clear" w:color="auto" w:fill="ffffff"/>
          <w:lang w:val="en-US" w:eastAsia="zh-CN"/>
        </w:rPr>
        <w:t xml:space="preserve">建</w:t>
      </w:r>
      <w:r>
        <w:rPr>
          <w:rFonts w:hint="eastAsia" w:ascii="宋体" w:hAnsi="宋体" w:eastAsia="宋体" w:cs="宋体"/>
          <w:color w:val="auto"/>
          <w:sz w:val="24"/>
          <w:szCs w:val="24"/>
          <w:highlight w:val="none"/>
          <w:shd w:val="clear" w:color="auto" w:fill="ffffff"/>
        </w:rPr>
        <w:t xml:space="preserve">2台内网核心</w:t>
      </w:r>
      <w:r>
        <w:rPr>
          <w:rFonts w:hint="eastAsia" w:ascii="宋体" w:hAnsi="宋体" w:eastAsia="宋体" w:cs="宋体"/>
          <w:color w:val="auto"/>
          <w:sz w:val="24"/>
          <w:szCs w:val="24"/>
          <w:highlight w:val="none"/>
          <w:shd w:val="clear" w:color="auto" w:fill="ffffff"/>
          <w:lang w:val="en-US" w:eastAsia="zh-CN"/>
        </w:rPr>
        <w:t xml:space="preserve">交换机</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val="en-US" w:eastAsia="zh-CN"/>
        </w:rPr>
        <w:t xml:space="preserve">部署在新建数据中心机房。增加超融合前后端交换机4台。因</w:t>
      </w:r>
      <w:r>
        <w:rPr>
          <w:rFonts w:hint="eastAsia" w:ascii="宋体" w:hAnsi="宋体" w:eastAsia="宋体" w:cs="宋体"/>
          <w:color w:val="auto"/>
          <w:sz w:val="24"/>
          <w:szCs w:val="24"/>
          <w:highlight w:val="none"/>
          <w:shd w:val="clear" w:color="auto" w:fill="ffffff"/>
        </w:rPr>
        <w:t xml:space="preserve">新建数据中心</w:t>
      </w:r>
      <w:r>
        <w:rPr>
          <w:rFonts w:hint="eastAsia" w:ascii="宋体" w:hAnsi="宋体" w:eastAsia="宋体" w:cs="宋体"/>
          <w:color w:val="auto"/>
          <w:sz w:val="24"/>
          <w:szCs w:val="24"/>
          <w:highlight w:val="none"/>
          <w:shd w:val="clear" w:color="auto" w:fill="ffffff"/>
          <w:lang w:val="en-US" w:eastAsia="zh-CN"/>
        </w:rPr>
        <w:t xml:space="preserve">机房所在</w:t>
      </w:r>
      <w:r>
        <w:rPr>
          <w:rFonts w:hint="eastAsia" w:ascii="宋体" w:hAnsi="宋体" w:eastAsia="宋体" w:cs="宋体"/>
          <w:color w:val="auto"/>
          <w:sz w:val="24"/>
          <w:szCs w:val="24"/>
          <w:highlight w:val="none"/>
          <w:shd w:val="clear" w:color="auto" w:fill="ffffff"/>
        </w:rPr>
        <w:t xml:space="preserve">楼栋采用全光网设计，</w:t>
      </w:r>
      <w:r>
        <w:rPr>
          <w:rFonts w:hint="eastAsia" w:ascii="宋体" w:hAnsi="宋体" w:eastAsia="宋体" w:cs="宋体"/>
          <w:color w:val="auto"/>
          <w:sz w:val="24"/>
          <w:szCs w:val="24"/>
          <w:highlight w:val="none"/>
          <w:shd w:val="clear" w:color="auto" w:fill="ffffff"/>
          <w:lang w:val="en-US" w:eastAsia="zh-CN"/>
        </w:rPr>
        <w:t xml:space="preserve">新建</w:t>
      </w:r>
      <w:r>
        <w:rPr>
          <w:rFonts w:hint="eastAsia" w:ascii="宋体" w:hAnsi="宋体" w:eastAsia="宋体" w:cs="宋体"/>
          <w:color w:val="auto"/>
          <w:sz w:val="24"/>
          <w:szCs w:val="24"/>
          <w:highlight w:val="none"/>
          <w:shd w:val="clear" w:color="auto" w:fill="ffffff"/>
        </w:rPr>
        <w:t xml:space="preserve">2台OLT作为楼栋汇聚</w:t>
      </w:r>
      <w:r>
        <w:rPr>
          <w:rFonts w:hint="eastAsia" w:ascii="宋体" w:hAnsi="宋体" w:eastAsia="宋体" w:cs="宋体"/>
          <w:color w:val="auto"/>
          <w:sz w:val="24"/>
          <w:szCs w:val="24"/>
          <w:highlight w:val="none"/>
          <w:shd w:val="clear" w:color="auto" w:fill="ffffff"/>
          <w:lang w:val="en-US" w:eastAsia="zh-CN"/>
        </w:rPr>
        <w:t xml:space="preserve">上联南院内网、外网及设备网核心</w:t>
      </w:r>
      <w:r>
        <w:rPr>
          <w:rFonts w:hint="eastAsia" w:ascii="宋体" w:hAnsi="宋体" w:eastAsia="宋体" w:cs="宋体"/>
          <w:color w:val="auto"/>
          <w:sz w:val="24"/>
          <w:szCs w:val="24"/>
          <w:highlight w:val="none"/>
          <w:shd w:val="clear" w:color="auto" w:fill="ffffff"/>
        </w:rPr>
        <w:t xml:space="preserve">，同时考虑</w:t>
      </w:r>
      <w:r>
        <w:rPr>
          <w:rFonts w:hint="eastAsia" w:ascii="宋体" w:hAnsi="宋体" w:eastAsia="宋体" w:cs="宋体"/>
          <w:color w:val="auto"/>
          <w:sz w:val="24"/>
          <w:szCs w:val="24"/>
          <w:highlight w:val="none"/>
          <w:shd w:val="clear" w:color="auto" w:fill="ffffff"/>
          <w:lang w:val="en-US" w:eastAsia="zh-CN"/>
        </w:rPr>
        <w:t xml:space="preserve">后期南院一期门诊和住院楼光网改造做冗余配置接口。</w:t>
      </w:r>
      <w:r/>
    </w:p>
    <w:p>
      <w:pPr>
        <w:ind w:left="0" w:firstLine="480"/>
        <w:jc w:val="both"/>
        <w:spacing w:before="0" w:after="0" w:line="360" w:lineRule="auto"/>
        <w:widowControl w:val="off"/>
        <w:rPr>
          <w:rFonts w:hint="eastAsia" w:ascii="宋体" w:hAnsi="宋体" w:eastAsia="宋体" w:cs="宋体"/>
          <w:color w:val="auto"/>
          <w:sz w:val="24"/>
          <w:szCs w:val="24"/>
          <w:highlight w:val="none"/>
          <w:shd w:val="clear" w:color="auto" w:fill="ffffff"/>
          <w:lang w:val="en-US" w:eastAsia="zh-CN"/>
        </w:rPr>
      </w:pPr>
      <w:r>
        <w:rPr>
          <w:rFonts w:ascii="宋体" w:hAnsi="宋体" w:eastAsia="宋体" w:cs="宋体"/>
          <w:color w:val="auto"/>
          <w:sz w:val="24"/>
          <w:szCs w:val="24"/>
          <w:highlight w:val="none"/>
        </w:rPr>
        <w:t xml:space="preserve">北院现有内网核心S10506利旧作为南院设备网核心，北院现内网核心S7503E-S 利旧作为北院设备网核心；利旧南院现有2台内网核心交换机S10508X-V，搬迁至北院 作为其内网核心并堆叠使用。</w:t>
      </w:r>
      <w:r/>
    </w:p>
    <w:p>
      <w:pPr>
        <w:ind w:left="0" w:firstLine="480"/>
        <w:jc w:val="both"/>
        <w:spacing w:before="0"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按照“一个中心、三重防护”的设计思路，对整体</w:t>
      </w:r>
      <w:r>
        <w:rPr>
          <w:rFonts w:hint="eastAsia" w:ascii="宋体" w:hAnsi="宋体" w:eastAsia="宋体" w:cs="宋体"/>
          <w:color w:val="auto"/>
          <w:sz w:val="24"/>
          <w:szCs w:val="24"/>
          <w:highlight w:val="none"/>
          <w:lang w:val="en-US" w:eastAsia="zh-CN"/>
        </w:rPr>
        <w:t xml:space="preserve">网络安全</w:t>
      </w:r>
      <w:r>
        <w:rPr>
          <w:rFonts w:hint="eastAsia" w:ascii="宋体" w:hAnsi="宋体" w:eastAsia="宋体" w:cs="宋体"/>
          <w:color w:val="auto"/>
          <w:sz w:val="24"/>
          <w:szCs w:val="24"/>
          <w:highlight w:val="none"/>
        </w:rPr>
        <w:t xml:space="preserve">拓扑规划</w:t>
      </w:r>
      <w:r>
        <w:rPr>
          <w:rFonts w:hint="eastAsia" w:ascii="宋体" w:hAnsi="宋体" w:eastAsia="宋体" w:cs="宋体"/>
          <w:color w:val="auto"/>
          <w:sz w:val="24"/>
          <w:szCs w:val="24"/>
          <w:highlight w:val="none"/>
          <w:lang w:eastAsia="zh-CN"/>
        </w:rPr>
        <w:t xml:space="preserve">，提升安全系统防护能力。</w:t>
      </w:r>
      <w:r/>
    </w:p>
    <w:p>
      <w:pPr>
        <w:ind w:left="0" w:firstLine="480"/>
        <w:jc w:val="both"/>
        <w:spacing w:before="0" w:after="0" w:line="360" w:lineRule="auto"/>
        <w:widowControl w:val="off"/>
        <w:rPr>
          <w:rFonts w:hint="default" w:ascii="宋体" w:hAnsi="宋体" w:eastAsia="宋体" w:cs="宋体"/>
          <w:color w:val="auto"/>
          <w:spacing w:val="2"/>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1）外网安全：</w:t>
      </w:r>
      <w:r>
        <w:rPr>
          <w:rFonts w:hint="eastAsia" w:ascii="宋体" w:hAnsi="宋体" w:eastAsia="宋体" w:cs="宋体"/>
          <w:color w:val="auto"/>
          <w:sz w:val="24"/>
          <w:szCs w:val="24"/>
          <w:highlight w:val="none"/>
          <w:lang w:val="en-US" w:eastAsia="zh-CN" w:bidi="ar-SA"/>
        </w:rPr>
        <w:t xml:space="preserve">互联网出口域负载均衡部署，新增2台上网行为管理设备，</w:t>
      </w:r>
      <w:r>
        <w:rPr>
          <w:rFonts w:hint="eastAsia" w:ascii="宋体" w:hAnsi="宋体" w:eastAsia="宋体" w:cs="宋体"/>
          <w:color w:val="auto"/>
          <w:spacing w:val="2"/>
          <w:sz w:val="24"/>
          <w:szCs w:val="24"/>
          <w:highlight w:val="none"/>
          <w:lang w:val="en-US" w:eastAsia="zh-CN" w:bidi="ar-SA"/>
        </w:rPr>
        <w:t xml:space="preserve">新部署1台零信任网关。新增1台外网备份一体机。在内外网间新增2台网闸。</w:t>
      </w:r>
      <w:r/>
    </w:p>
    <w:p>
      <w:pPr>
        <w:ind w:left="0" w:firstLine="488"/>
        <w:jc w:val="both"/>
        <w:spacing w:before="0" w:after="0" w:line="360" w:lineRule="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2）内网安全：外联</w:t>
      </w:r>
      <w:r>
        <w:rPr>
          <w:rFonts w:hint="eastAsia" w:ascii="宋体" w:hAnsi="宋体" w:eastAsia="宋体" w:cs="Times New Roman"/>
          <w:color w:val="auto"/>
          <w:sz w:val="24"/>
          <w:szCs w:val="22"/>
          <w:highlight w:val="none"/>
          <w:lang w:val="en-US" w:eastAsia="zh-CN" w:bidi="ar-SA"/>
        </w:rPr>
        <w:t xml:space="preserve">防火墙新增1台，在内网核心和内网数据中心之间部署2套深度安全融合网关。</w:t>
      </w:r>
      <w:r>
        <w:rPr>
          <w:rFonts w:hint="eastAsia" w:ascii="宋体" w:hAnsi="宋体" w:eastAsia="宋体" w:cs="宋体"/>
          <w:color w:val="auto"/>
          <w:spacing w:val="2"/>
          <w:sz w:val="24"/>
          <w:szCs w:val="24"/>
          <w:highlight w:val="none"/>
          <w:lang w:val="en-US" w:eastAsia="zh-CN" w:bidi="ar-SA"/>
        </w:rPr>
        <w:t xml:space="preserve">新增1台内网备份一体机。</w:t>
      </w:r>
      <w:r/>
    </w:p>
    <w:p>
      <w:pPr>
        <w:ind w:left="0" w:firstLine="480"/>
        <w:jc w:val="both"/>
        <w:spacing w:before="0" w:after="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3）运维管理：</w:t>
      </w:r>
      <w:r>
        <w:rPr>
          <w:rFonts w:hint="eastAsia" w:ascii="宋体" w:hAnsi="宋体" w:eastAsia="宋体" w:cs="宋体"/>
          <w:color w:val="auto"/>
          <w:spacing w:val="2"/>
          <w:sz w:val="24"/>
          <w:szCs w:val="24"/>
          <w:highlight w:val="none"/>
          <w:lang w:val="en-US" w:eastAsia="zh-CN" w:bidi="ar-SA"/>
        </w:rPr>
        <w:t xml:space="preserve">在运维管理区新部署一套堡垒机，对内、外网进行统一管理。</w:t>
      </w:r>
      <w:r/>
    </w:p>
    <w:p>
      <w:pPr>
        <w:ind w:left="0" w:firstLine="484"/>
        <w:jc w:val="both"/>
        <w:spacing w:before="0" w:after="0" w:line="360" w:lineRule="auto"/>
        <w:widowControl w:val="off"/>
        <w:rPr>
          <w:rFonts w:hint="default"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4）安全服务升级：</w:t>
      </w:r>
      <w:r>
        <w:rPr>
          <w:rFonts w:hint="eastAsia" w:ascii="宋体" w:hAnsi="宋体" w:eastAsia="宋体" w:cs="宋体"/>
          <w:color w:val="auto"/>
          <w:sz w:val="24"/>
          <w:szCs w:val="24"/>
          <w:highlight w:val="none"/>
          <w:lang w:val="en-US" w:eastAsia="zh-CN" w:bidi="ar-SA"/>
        </w:rPr>
        <w:t xml:space="preserve">全院已部署态势感知、火绒杀毒软件、防火墙、防毒墙及IPS，以上设备即将过三年质保期，需要利旧并每年续费延期授权服务及病毒特征库升级。</w:t>
      </w:r>
      <w:r/>
    </w:p>
    <w:p>
      <w:pPr>
        <w:spacing w:line="360" w:lineRule="auto"/>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3、大数据机房建设</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将数据中心打造成模块化、可视化、绿色节能、安全可靠的B级数据中心。建设内容包括：机柜及冷通道系统、UPS主机及电池系统、空调制冷及新风系统、配电及防雷接地系统、智能化系统、装饰装修工程。</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主机房规划IT服务器机柜17个，单机柜功耗为5kW。主机房规划网络布线柜5个，接入间规划网络布线柜3个，单机柜功耗为2KW。</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1）微模块：含IT机柜、风冷行级空调、配电列头柜、封闭冷通道，目前建设1套微模块机柜，预留后期扩展空间。</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2）UPS配电：IT机柜采用2台200KVA模块化UPS，组成2N架构。空调采用1台模块化UPS,1路市电+1路U电。后备时长均为2.5小时。</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3）空调通风：微模块内采用3台46KW行级风冷氟泵空调，2+1冗余；通信接入间、配电间、电池间采用13KW房间级精密空调，1+1冗余。</w:t>
      </w:r>
      <w:r/>
    </w:p>
    <w:p>
      <w:pPr>
        <w:ind w:left="0" w:firstLine="480"/>
        <w:jc w:val="both"/>
        <w:spacing w:before="0" w:after="0" w:line="360" w:lineRule="auto"/>
        <w:widowControl w:val="off"/>
        <w:rPr>
          <w:rFonts w:hint="default"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4）智能化：综合布线系统、视频监控系统、入侵报警系统、门禁系统、KVM系统、动力环境监控系统、节能调控系统。其中，动力环境监控系统</w:t>
      </w:r>
      <w:r>
        <w:rPr>
          <w:rFonts w:hint="eastAsia" w:ascii="宋体" w:hAnsi="宋体" w:eastAsia="宋体" w:cs="宋体"/>
          <w:color w:val="auto"/>
          <w:sz w:val="24"/>
          <w:szCs w:val="24"/>
          <w:highlight w:val="none"/>
        </w:rPr>
        <w:t xml:space="preserve">对配电、UPS、空调、通风、蓄电池、温湿度、漏水</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的监控。</w:t>
      </w:r>
      <w:r/>
    </w:p>
    <w:p>
      <w:pPr>
        <w:ind w:left="0" w:firstLine="480"/>
        <w:jc w:val="both"/>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5）装修：</w:t>
      </w:r>
      <w:r>
        <w:rPr>
          <w:rFonts w:hint="eastAsia" w:ascii="宋体" w:hAnsi="宋体" w:eastAsia="宋体" w:cs="宋体"/>
          <w:color w:val="auto"/>
          <w:sz w:val="24"/>
          <w:szCs w:val="24"/>
          <w:highlight w:val="none"/>
          <w:lang w:val="en-US" w:eastAsia="zh-CN" w:bidi="ar-SA"/>
        </w:rPr>
        <w:t xml:space="preserve">包括主机房、通信接入间，UPS配电室及电池室。可分为机房地面、墙面、顶面等及其他装修内容。</w:t>
      </w:r>
      <w:r/>
    </w:p>
    <w:p>
      <w:pPr>
        <w:numPr>
          <w:ilvl w:val="0"/>
          <w:numId w:val="0"/>
        </w:numPr>
        <w:spacing w:line="360" w:lineRule="auto"/>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4、监控室建设</w:t>
      </w:r>
      <w:r/>
    </w:p>
    <w:p>
      <w:pPr>
        <w:ind w:left="0" w:firstLine="480"/>
        <w:jc w:val="both"/>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监控调度室满足盐城三院信息设施及平台应用系统的监管运维需求，同时具备智慧医院功能模块系统的运营调度、辅助决策及参观展示功能。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监控调度室面积65m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满足约</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人日常监控调度需求，</w:t>
      </w:r>
      <w:r>
        <w:rPr>
          <w:rFonts w:hint="eastAsia" w:ascii="宋体" w:hAnsi="宋体" w:eastAsia="宋体" w:cs="宋体"/>
          <w:color w:val="auto"/>
          <w:sz w:val="24"/>
          <w:szCs w:val="24"/>
          <w:highlight w:val="none"/>
          <w:lang w:val="en-US" w:eastAsia="zh-CN"/>
        </w:rPr>
        <w:t xml:space="preserve">前排</w:t>
      </w:r>
      <w:r>
        <w:rPr>
          <w:rFonts w:hint="eastAsia" w:ascii="宋体" w:hAnsi="宋体" w:eastAsia="宋体" w:cs="宋体"/>
          <w:color w:val="auto"/>
          <w:sz w:val="24"/>
          <w:szCs w:val="24"/>
          <w:highlight w:val="none"/>
        </w:rPr>
        <w:t xml:space="preserve">设有操作台</w:t>
      </w:r>
      <w:r>
        <w:rPr>
          <w:rFonts w:hint="eastAsia" w:ascii="宋体" w:hAnsi="宋体" w:eastAsia="宋体" w:cs="宋体"/>
          <w:color w:val="auto"/>
          <w:sz w:val="24"/>
          <w:szCs w:val="24"/>
          <w:highlight w:val="none"/>
          <w:lang w:val="en-US" w:eastAsia="zh-CN"/>
        </w:rPr>
        <w:t xml:space="preserve">兼会议席位</w:t>
      </w:r>
      <w:r>
        <w:rPr>
          <w:rFonts w:hint="eastAsia" w:ascii="宋体" w:hAnsi="宋体" w:eastAsia="宋体" w:cs="宋体"/>
          <w:color w:val="auto"/>
          <w:sz w:val="24"/>
          <w:szCs w:val="24"/>
          <w:highlight w:val="none"/>
        </w:rPr>
        <w:t xml:space="preserve">，通过操作台联网电脑终端即可实现多平台信号的自由分隔显示和切换。</w:t>
      </w:r>
      <w:r>
        <w:rPr>
          <w:rFonts w:hint="eastAsia" w:ascii="宋体" w:hAnsi="宋体" w:eastAsia="宋体" w:cs="宋体"/>
          <w:color w:val="auto"/>
          <w:sz w:val="24"/>
          <w:szCs w:val="24"/>
          <w:highlight w:val="none"/>
          <w:lang w:val="en-US" w:eastAsia="zh-CN"/>
        </w:rPr>
        <w:t xml:space="preserve">后排设有会议席位兼观摩坐席，</w:t>
      </w:r>
      <w:r>
        <w:rPr>
          <w:rFonts w:hint="eastAsia" w:ascii="宋体" w:hAnsi="宋体" w:eastAsia="宋体" w:cs="宋体"/>
          <w:color w:val="auto"/>
          <w:sz w:val="24"/>
          <w:szCs w:val="24"/>
          <w:highlight w:val="none"/>
        </w:rPr>
        <w:t xml:space="preserve">满足召开视频会议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参观及观摩场景使用需求</w:t>
      </w:r>
      <w:r>
        <w:rPr>
          <w:rFonts w:hint="eastAsia" w:ascii="宋体" w:hAnsi="宋体" w:eastAsia="宋体" w:cs="宋体"/>
          <w:color w:val="auto"/>
          <w:sz w:val="24"/>
          <w:szCs w:val="24"/>
          <w:highlight w:val="none"/>
        </w:rPr>
        <w:t xml:space="preserve">。</w:t>
      </w:r>
      <w:r/>
    </w:p>
    <w:p>
      <w:pPr>
        <w:ind w:firstLine="480"/>
        <w:spacing w:line="360" w:lineRule="auto"/>
        <w:rPr>
          <w:rFonts w:ascii="Times New Roman" w:hAnsi="Times New Roman" w:eastAsia="宋体" w:cs="Times New Roman"/>
          <w:bCs/>
          <w:color w:val="auto"/>
          <w:sz w:val="24"/>
          <w:szCs w:val="44"/>
          <w:highlight w:val="none"/>
        </w:rPr>
      </w:pPr>
      <w:r>
        <w:rPr>
          <w:rFonts w:hint="eastAsia" w:ascii="宋体" w:hAnsi="宋体" w:eastAsia="宋体" w:cs="宋体"/>
          <w:color w:val="auto"/>
          <w:sz w:val="24"/>
          <w:szCs w:val="24"/>
          <w:highlight w:val="none"/>
          <w:lang w:val="en-US" w:eastAsia="zh-CN"/>
        </w:rPr>
        <w:t xml:space="preserve">建设系统包括：</w:t>
      </w:r>
      <w:r>
        <w:rPr>
          <w:rFonts w:ascii="Times New Roman" w:hAnsi="Times New Roman" w:eastAsia="宋体" w:cs="Times New Roman"/>
          <w:bCs/>
          <w:color w:val="auto"/>
          <w:sz w:val="24"/>
          <w:szCs w:val="24"/>
          <w:highlight w:val="none"/>
        </w:rPr>
        <w:t xml:space="preserve">视频会议系统</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音频</w:t>
      </w:r>
      <w:r>
        <w:rPr>
          <w:rFonts w:ascii="Times New Roman" w:hAnsi="Times New Roman" w:eastAsia="宋体" w:cs="Times New Roman"/>
          <w:bCs/>
          <w:color w:val="auto"/>
          <w:sz w:val="24"/>
          <w:szCs w:val="24"/>
          <w:highlight w:val="none"/>
        </w:rPr>
        <w:t xml:space="preserve">扩声系统</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分布式管理</w:t>
      </w:r>
      <w:r>
        <w:rPr>
          <w:rFonts w:ascii="Times New Roman" w:hAnsi="Times New Roman" w:eastAsia="宋体" w:cs="Times New Roman"/>
          <w:bCs/>
          <w:color w:val="auto"/>
          <w:sz w:val="24"/>
          <w:szCs w:val="24"/>
          <w:highlight w:val="none"/>
        </w:rPr>
        <w:t xml:space="preserve">系统</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操作控制台。</w:t>
      </w:r>
      <w:r/>
    </w:p>
    <w:p>
      <w:pPr>
        <w:spacing w:line="360" w:lineRule="auto"/>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5、数字运维管理平台</w:t>
      </w:r>
      <w:r/>
    </w:p>
    <w:p>
      <w:pPr>
        <w:ind w:left="0" w:firstLine="480"/>
        <w:jc w:val="both"/>
        <w:spacing w:before="0" w:after="0" w:line="360" w:lineRule="auto"/>
        <w:widowControl w:val="off"/>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数字运维管理</w:t>
      </w:r>
      <w:r>
        <w:rPr>
          <w:rFonts w:hint="default" w:ascii="宋体" w:hAnsi="宋体" w:eastAsia="宋体" w:cs="Times New Roman"/>
          <w:b w:val="0"/>
          <w:bCs w:val="0"/>
          <w:color w:val="auto"/>
          <w:sz w:val="24"/>
          <w:szCs w:val="21"/>
          <w:highlight w:val="none"/>
          <w:lang w:val="en-US" w:eastAsia="zh-CN" w:bidi="ar-SA"/>
        </w:rPr>
        <w:t xml:space="preserve">平台聚焦运维监控管理、网络安全管理、IT运营分析三大核心能力建设，提升运维服务效能及质量</w:t>
      </w:r>
      <w:r>
        <w:rPr>
          <w:rFonts w:hint="eastAsia" w:ascii="宋体" w:hAnsi="宋体" w:eastAsia="宋体" w:cs="Times New Roman"/>
          <w:b w:val="0"/>
          <w:bCs w:val="0"/>
          <w:color w:val="auto"/>
          <w:sz w:val="24"/>
          <w:szCs w:val="21"/>
          <w:highlight w:val="none"/>
          <w:lang w:val="en-US" w:eastAsia="zh-CN" w:bidi="ar-SA"/>
        </w:rPr>
        <w:t xml:space="preserve">。</w:t>
      </w:r>
      <w:r/>
    </w:p>
    <w:p>
      <w:pPr>
        <w:numPr>
          <w:ilvl w:val="0"/>
          <w:numId w:val="0"/>
        </w:numPr>
        <w:spacing w:line="360" w:lineRule="auto"/>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6、数据中心搬迁</w:t>
      </w:r>
      <w:r/>
    </w:p>
    <w:p>
      <w:pPr>
        <w:ind w:left="0" w:firstLine="480"/>
        <w:jc w:val="both"/>
        <w:spacing w:before="0" w:after="0" w:line="360" w:lineRule="auto"/>
        <w:widowControl w:val="off"/>
        <w:rPr>
          <w:rFonts w:hint="default" w:ascii="宋体" w:hAnsi="宋体" w:eastAsia="宋体" w:cs="Times New Roman"/>
          <w:b/>
          <w:bCs/>
          <w:color w:val="auto"/>
          <w:sz w:val="24"/>
          <w:szCs w:val="21"/>
          <w:highlight w:val="none"/>
          <w:lang w:val="en-US" w:eastAsia="zh-CN" w:bidi="ar-SA"/>
        </w:rPr>
      </w:pPr>
      <w:r>
        <w:rPr>
          <w:rFonts w:hint="eastAsia" w:ascii="宋体" w:hAnsi="宋体" w:eastAsia="宋体" w:cs="宋体"/>
          <w:bCs w:val="0"/>
          <w:color w:val="auto"/>
          <w:sz w:val="24"/>
          <w:szCs w:val="20"/>
          <w:highlight w:val="none"/>
          <w:lang w:val="en-US" w:eastAsia="zh-CN" w:bidi="ar-SA"/>
        </w:rPr>
        <w:t xml:space="preserve">将把现有南院区老数据中心的部分服务器、存储、网络、云平台系统及设备搬迁到南院区新建数据中心，业务也随之进行割接迁移。本次搬迁涉及到信息基础设施核心关键业务部分，采用在线搬迁的方式，即建立平滑的网络过渡环境，以数据存储为核心，保障网络和应用系统的稳定性、连续性。应用系统由东华和多家公司联合建设，迁移系统需考虑业务的连续性，需做好充分沟通。</w:t>
      </w:r>
      <w:r/>
    </w:p>
    <w:p>
      <w:pPr>
        <w:spacing w:line="360" w:lineRule="auto"/>
        <w:rPr>
          <w:rFonts w:hint="eastAsia" w:ascii="宋体" w:hAnsi="宋体"/>
          <w:b/>
          <w:bCs/>
          <w:i w:val="0"/>
          <w:iCs w:val="0"/>
          <w:color w:val="auto"/>
          <w:sz w:val="24"/>
          <w:highlight w:val="none"/>
          <w:u w:val="none"/>
        </w:rPr>
      </w:pPr>
      <w:r>
        <w:rPr>
          <w:rFonts w:hint="eastAsia" w:ascii="宋体" w:hAnsi="宋体"/>
          <w:b/>
          <w:bCs/>
          <w:i w:val="0"/>
          <w:iCs w:val="0"/>
          <w:color w:val="auto"/>
          <w:sz w:val="24"/>
          <w:highlight w:val="none"/>
          <w:u w:val="none"/>
          <w:lang w:val="en-US" w:eastAsia="zh-CN"/>
        </w:rPr>
        <w:t xml:space="preserve">三、相关</w:t>
      </w:r>
      <w:r>
        <w:rPr>
          <w:rFonts w:hint="eastAsia" w:ascii="宋体" w:hAnsi="宋体"/>
          <w:b/>
          <w:bCs/>
          <w:i w:val="0"/>
          <w:iCs w:val="0"/>
          <w:color w:val="auto"/>
          <w:sz w:val="24"/>
          <w:highlight w:val="none"/>
          <w:u w:val="none"/>
        </w:rPr>
        <w:t xml:space="preserve">建设依据</w:t>
      </w:r>
      <w:r/>
    </w:p>
    <w:p>
      <w:pPr>
        <w:ind w:firstLine="960"/>
        <w:jc w:val="left"/>
        <w:spacing w:line="240" w:lineRule="auto"/>
        <w:rPr>
          <w:rFonts w:hint="eastAsia" w:ascii="宋体" w:hAnsi="宋体" w:eastAsia="宋体"/>
          <w:i w:val="0"/>
          <w:iCs w:val="0"/>
          <w:color w:val="auto"/>
          <w:sz w:val="24"/>
          <w:highlight w:val="none"/>
          <w:u w:val="none"/>
        </w:rPr>
      </w:pPr>
      <w:r/>
      <w:bookmarkStart w:id="176" w:name="_Toc80127299"/>
      <w:r>
        <w:rPr>
          <w:rFonts w:hint="eastAsia" w:ascii="宋体" w:hAnsi="宋体" w:eastAsia="宋体"/>
          <w:i w:val="0"/>
          <w:iCs w:val="0"/>
          <w:color w:val="auto"/>
          <w:sz w:val="24"/>
          <w:highlight w:val="none"/>
          <w:u w:val="none"/>
        </w:rPr>
        <w:t xml:space="preserve">《数据中心设计规范》                GB50174-2017</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《数据中心基础设施施工及验收规范》   GB50462-2015</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《供配电系统设计规范》               GB50052-2009</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《建筑物电子信息系统防雷技术规范》   GB50343-2012</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《综合布线系统工程设计规范》         GB50311-2016</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《综合布线系统工程验收规范》         GB50312-2016</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《火灾自动报警系统设计规范》         GB50116-2013</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《火灾自动报警系统施工及验收规范》   GB50166-2007</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《气体灭火系统设计规范》             GB50370-2005</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《气体灭火系统施工及验收规范》       GB50263-2007</w:t>
      </w:r>
      <w:r/>
    </w:p>
    <w:p>
      <w:pPr>
        <w:ind w:firstLine="480"/>
        <w:jc w:val="left"/>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《安全防范工程技术规范》             GB50348-2018</w:t>
      </w:r>
      <w:r/>
    </w:p>
    <w:p>
      <w:pPr>
        <w:ind w:firstLine="480"/>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w:t>
      </w:r>
      <w:r>
        <w:rPr>
          <w:rFonts w:hint="eastAsia" w:ascii="宋体" w:hAnsi="宋体"/>
          <w:i w:val="0"/>
          <w:iCs w:val="0"/>
          <w:color w:val="auto"/>
          <w:sz w:val="24"/>
          <w:highlight w:val="none"/>
          <w:u w:val="none"/>
        </w:rPr>
        <w:tab/>
      </w:r>
      <w:r>
        <w:rPr>
          <w:rFonts w:hint="eastAsia" w:ascii="宋体" w:hAnsi="宋体"/>
          <w:i w:val="0"/>
          <w:iCs w:val="0"/>
          <w:color w:val="auto"/>
          <w:sz w:val="24"/>
          <w:highlight w:val="none"/>
          <w:u w:val="none"/>
        </w:rPr>
        <w:t xml:space="preserve">其它国家和行业现行的有关技术规范、规程等。</w:t>
      </w:r>
      <w:r/>
    </w:p>
    <w:p>
      <w:pPr>
        <w:ind w:firstLine="480"/>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注：以上技术标准、规范或规程如有新版的，则以新版为准。</w:t>
      </w:r>
      <w:r/>
    </w:p>
    <w:p>
      <w:pPr>
        <w:ind w:firstLine="480"/>
        <w:spacing w:line="360" w:lineRule="auto"/>
        <w:rPr>
          <w:rFonts w:hint="eastAsia" w:ascii="宋体" w:hAnsi="宋体"/>
          <w:i w:val="0"/>
          <w:iCs w:val="0"/>
          <w:color w:val="auto"/>
          <w:sz w:val="24"/>
          <w:highlight w:val="none"/>
          <w:u w:val="none"/>
        </w:rPr>
      </w:pPr>
      <w:r>
        <w:rPr>
          <w:rFonts w:hint="eastAsia" w:ascii="宋体" w:hAnsi="宋体"/>
          <w:i w:val="0"/>
          <w:iCs w:val="0"/>
          <w:color w:val="auto"/>
          <w:sz w:val="24"/>
          <w:highlight w:val="none"/>
          <w:u w:val="none"/>
        </w:rPr>
        <w:t xml:space="preserve">本次配置含机房内机房装修，防雷接地，动力柜，综合布线等子系统清单，含微模块外部输入功率线缆，含设备底座，含机房主电缆和信号线缆线槽。</w:t>
      </w:r>
      <w:bookmarkEnd w:id="176"/>
      <w:r/>
      <w:r/>
    </w:p>
    <w:p>
      <w:pPr>
        <w:jc w:val="left"/>
        <w:keepLines w:val="0"/>
        <w:keepNext w:val="0"/>
        <w:pageBreakBefore w:val="0"/>
        <w:spacing w:line="360" w:lineRule="auto"/>
        <w:widowControl/>
        <w:rPr>
          <w:rFonts w:hint="default"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四、技术参数要求</w:t>
      </w:r>
      <w:r/>
    </w:p>
    <w:p>
      <w:pPr>
        <w:jc w:val="left"/>
        <w:keepLines w:val="0"/>
        <w:keepNext w:val="0"/>
        <w:pageBreakBefore w:val="0"/>
        <w:spacing w:line="360" w:lineRule="auto"/>
        <w:widowControl/>
        <w:rPr>
          <w:rFonts w:hint="default"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1、超融合平台</w:t>
      </w:r>
      <w:r/>
    </w:p>
    <w:tbl>
      <w:tblPr>
        <w:tblStyle w:val="91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5"/>
        <w:gridCol w:w="2014"/>
        <w:gridCol w:w="4241"/>
        <w:gridCol w:w="417"/>
        <w:gridCol w:w="471"/>
        <w:gridCol w:w="714"/>
      </w:tblGrid>
      <w:tr>
        <w:trPr>
          <w:trHeight w:val="375"/>
        </w:trPr>
        <w:tc>
          <w:tcPr>
            <w:gridSpan w:val="6"/>
            <w:shd w:val="clear" w:color="auto" w:fill="auto"/>
            <w:tcW w:w="5000" w:type="pct"/>
            <w:vAlign w:val="center"/>
            <w:textDirection w:val="lrTb"/>
            <w:noWrap w:val="false"/>
          </w:tcPr>
          <w:p>
            <w:pPr>
              <w:jc w:val="center"/>
              <w:keepLines w:val="0"/>
              <w:keepNext w:val="0"/>
              <w:widowControl/>
              <w:rPr>
                <w:rFonts w:hint="default" w:ascii="宋体" w:hAnsi="宋体" w:eastAsia="宋体" w:cs="宋体"/>
                <w:b/>
                <w:bCs/>
                <w:i w:val="0"/>
                <w:iCs w:val="0"/>
                <w:color w:val="auto"/>
                <w:sz w:val="28"/>
                <w:szCs w:val="28"/>
                <w:highlight w:val="none"/>
                <w:u w:val="none"/>
                <w:lang w:val="en-US"/>
              </w:rPr>
              <w:suppressLineNumbers w:val="0"/>
            </w:pPr>
            <w:r>
              <w:rPr>
                <w:rFonts w:hint="eastAsia" w:ascii="宋体" w:hAnsi="宋体" w:cs="宋体"/>
                <w:b/>
                <w:bCs/>
                <w:i w:val="0"/>
                <w:iCs w:val="0"/>
                <w:color w:val="auto"/>
                <w:sz w:val="28"/>
                <w:szCs w:val="28"/>
                <w:highlight w:val="none"/>
                <w:u w:val="none"/>
                <w:lang w:val="en-US" w:eastAsia="zh-CN" w:bidi="ar"/>
              </w:rPr>
              <w:t xml:space="preserve">超融合平台</w:t>
            </w:r>
            <w:r/>
          </w:p>
        </w:tc>
      </w:tr>
      <w:tr>
        <w:trPr>
          <w:trHeight w:val="270"/>
        </w:trPr>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W w:w="118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W w:w="248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W w:w="41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gridSpan w:val="6"/>
            <w:shd w:val="clear" w:color="auto" w:fill="auto"/>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一、内网超融合一体机（ARM）</w:t>
            </w:r>
            <w:r/>
          </w:p>
        </w:tc>
      </w:tr>
      <w:tr>
        <w:trPr>
          <w:trHeight w:val="5025"/>
        </w:trPr>
        <w:tc>
          <w:tcPr>
            <w:shd w:val="clear" w:color="auto" w:fill="auto"/>
            <w:tcW w:w="39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W w:w="11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内网超融合一体机（ARM）</w:t>
            </w:r>
            <w:r/>
          </w:p>
        </w:tc>
        <w:tc>
          <w:tcPr>
            <w:shd w:val="clear" w:color="auto" w:fill="auto"/>
            <w:tcW w:w="248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提供三年软硬件质保服务，每节点配置如下：</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（1）每节点配置≥2颗国产化ARM架构处理器，单颗处理器物理核数≥48核，单颗处理器主频≥2.6GHz（非超频），芯片型号通过具有资质的系统检测机构的安全可靠测评；</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（2）每节点配置≥384GB内存；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（3）每节点配置≥2块960GB-SSD系统盘；≥12块3.84TB-SSD数据盘；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（4）每节点配置≥1张Raid阵列卡，支持RAID 0/1/10/5/50/6/60；</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（5）每节点配置≥4个千兆网口，≥2个万兆网口（含对应光模块），≥2个25G万兆光口(含对应光模块)；</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（6）配置相应的虚拟化软件授权和分布式存储软件授权；</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（7）超融合硬件节点管理系统支持国产自研管理芯片；</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2、同一节点内实现计算存储融合，可配置多副本或EC（纠删码），可满足不同可靠性要求的业务场景；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在统一管理界面中监控和管理计算、存储、交换机、虚拟化平台；支持一键式或定期自动输出系统健康巡检报告，包括CPU、内存、HDD、SSD、RAID卡等硬件状态，虚拟化平台，存储软件，超融合管理软件等部件健康状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在统一管理界面上一键式日志收集功能，在需要定位问题时能够快速收集需要的所有日志信息，包括硬件，虚拟化平台，存储软件、管理软件。包括节点的进程监控、页面操作日志、身份认证管理、安装日志、资源管理、操作系统日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5、支持上传应用软件包与部署脚本到管理平台，进行应用编排从而实现应用自动化部署、以及实施查看实例状态、CPU、内存监控信息功能；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6、▲支持卷的虚拟快照功能，每秒创建快照对性能影响小于10%，</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（需提供具有资质的第三方检测报告，至少包括首页和正文页扫描件并加盖投标人公章）；</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用户针对制定的虚拟化配置检查策略，达到策略定于的阈值后自动扩容虚拟机的CPU或内存，运行中虚拟机正常运行不需要重启；支持配置节点间动态资源调度功能，CPU和内存的负载达到阈值后，虚拟机自动迁移之另一个节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8、为确保客户业务连续性需求，虚拟化平台支持CPU、内存热添加。支持图形化界面划分存储资源池，每个存储资源池即为一个故障域，保证可靠性；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9、支持灵活EC（Erasure Code）算法实现数据冗余存储，支持4+2,6+2,8+2多种冗余配置，最大支持22+2冗余配置；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10、▲支持IOPS及带宽的瞬时冲高（burst）能力，可按照一定规则配置某个卷在多长时间内可以提供的最大IOPS，满足业务量暴增场景性能诉求，</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（需提供具有资质的第三方检测报告，至少包括首页和正文页扫描件并加盖投标人公章）；</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环境标志产品政府采购品目 清单</w:t>
            </w:r>
            <w:r/>
          </w:p>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部署内网</w:t>
            </w:r>
            <w:r/>
          </w:p>
        </w:tc>
      </w:tr>
      <w:tr>
        <w:trPr>
          <w:trHeight w:val="270"/>
        </w:trPr>
        <w:tc>
          <w:tcPr>
            <w:gridSpan w:val="6"/>
            <w:shd w:val="clear" w:color="auto" w:fill="auto"/>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color w:val="auto"/>
                <w:spacing w:val="-3"/>
                <w:sz w:val="20"/>
                <w:szCs w:val="20"/>
                <w:highlight w:val="none"/>
                <w:lang w:val="en-US" w:eastAsia="zh-CN"/>
              </w:rPr>
              <w:t xml:space="preserve">二、国产</w:t>
            </w:r>
            <w:r>
              <w:rPr>
                <w:rFonts w:hint="eastAsia" w:ascii="宋体" w:hAnsi="宋体" w:eastAsia="宋体" w:cs="宋体"/>
                <w:b/>
                <w:bCs/>
                <w:color w:val="auto"/>
                <w:spacing w:val="-3"/>
                <w:sz w:val="20"/>
                <w:szCs w:val="20"/>
                <w:highlight w:val="none"/>
              </w:rPr>
              <w:t xml:space="preserve">超融合</w:t>
            </w:r>
            <w:r>
              <w:rPr>
                <w:rFonts w:hint="eastAsia" w:ascii="宋体" w:hAnsi="宋体" w:eastAsia="宋体" w:cs="宋体"/>
                <w:b/>
                <w:bCs/>
                <w:color w:val="auto"/>
                <w:spacing w:val="-3"/>
                <w:sz w:val="20"/>
                <w:szCs w:val="20"/>
                <w:highlight w:val="none"/>
                <w:lang w:val="en-US" w:eastAsia="zh-CN"/>
              </w:rPr>
              <w:t xml:space="preserve">平台硬件（C86）</w:t>
            </w:r>
            <w:r/>
          </w:p>
        </w:tc>
      </w:tr>
      <w:tr>
        <w:trPr>
          <w:trHeight w:val="2240"/>
        </w:trPr>
        <w:tc>
          <w:tcPr>
            <w:shd w:val="clear" w:color="auto" w:fill="auto"/>
            <w:tcW w:w="39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W w:w="11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内网国产化超融合平台（C86）</w:t>
            </w:r>
            <w:r/>
          </w:p>
        </w:tc>
        <w:tc>
          <w:tcPr>
            <w:shd w:val="clear" w:color="auto" w:fill="auto"/>
            <w:tcW w:w="2489" w:type="pct"/>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提供三年质保服务，每节点配置如下：</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（1）每节点配置≥2颗C86架构的国产化处理器，单颗处理器物理核数≥64核，单颗处理器主频≥2.7GHz（非超频），芯片型号通过具有资质的系统检测机构的安全可靠测评；</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（2）内存：≥512GB DDR5；</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（3）系统盘：≥2*480GB SATA SSD硬盘；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（4）缓存盘：≥2*3.84TB SATA SSD硬盘；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（5）数据盘：≥10*12TB HDD 硬盘；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（6）接口：≥4个千兆电口；≥2个万兆网口（含对应光模块），≥2个25G万兆光口(含对应光模块)；</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（7）含RAID卡模块。</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5</w:t>
            </w:r>
            <w:r/>
          </w:p>
        </w:tc>
        <w:tc>
          <w:tcPr>
            <w:shd w:val="clear" w:color="auto" w:fill="auto"/>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环境标志产品政府采购品目 清单</w:t>
            </w:r>
            <w:r/>
          </w:p>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部署内网</w:t>
            </w:r>
            <w:r/>
          </w:p>
        </w:tc>
      </w:tr>
      <w:tr>
        <w:trPr>
          <w:trHeight w:val="90"/>
        </w:trPr>
        <w:tc>
          <w:tcPr>
            <w:shd w:val="clear" w:color="auto" w:fill="auto"/>
            <w:tcW w:w="39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W w:w="11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外网国产化超融合平台（C86）</w:t>
            </w:r>
            <w:r/>
          </w:p>
        </w:tc>
        <w:tc>
          <w:tcPr>
            <w:shd w:val="clear" w:color="auto" w:fill="auto"/>
            <w:tcW w:w="2489" w:type="pct"/>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提供三年质保服务，每节点配置如下：</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（1）每节点配置≥2颗C86架构的国产化处理器，单颗处理器物理核数≥32核，单颗处理器主频≥2.5GHz（非超频），芯片型号通过具有资质的系统检测机构的安全可靠测评；</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（2）内存：≥256GB DDR5；</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（3）系统盘：≥2*480GB SATA SSD硬盘；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（4）缓存盘：≥2*3.84TB SATA SSD硬盘；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（5）数据盘：≥8*8TB HDD 硬盘；</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（6）接口：≥4个千兆电口；≥4个万兆网口（含对应光模块）；</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（7）含RAID卡模块。</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环境标志产品政府采购品目 清单</w:t>
            </w:r>
            <w:r/>
          </w:p>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部署外网</w:t>
            </w:r>
            <w:r/>
          </w:p>
        </w:tc>
      </w:tr>
      <w:tr>
        <w:trPr>
          <w:trHeight w:val="380"/>
        </w:trPr>
        <w:tc>
          <w:tcPr>
            <w:gridSpan w:val="6"/>
            <w:shd w:val="clear" w:color="auto" w:fill="auto"/>
            <w:tcW w:w="5000"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三、</w:t>
            </w:r>
            <w:r>
              <w:rPr>
                <w:rFonts w:hint="eastAsia" w:ascii="宋体" w:hAnsi="宋体" w:eastAsia="宋体" w:cs="宋体"/>
                <w:b/>
                <w:bCs/>
                <w:color w:val="auto"/>
                <w:spacing w:val="-3"/>
                <w:sz w:val="20"/>
                <w:szCs w:val="20"/>
                <w:highlight w:val="none"/>
                <w:lang w:val="en-US" w:eastAsia="zh-CN"/>
              </w:rPr>
              <w:t xml:space="preserve">国产</w:t>
            </w:r>
            <w:r>
              <w:rPr>
                <w:rFonts w:hint="eastAsia" w:ascii="宋体" w:hAnsi="宋体" w:eastAsia="宋体" w:cs="宋体"/>
                <w:b/>
                <w:bCs/>
                <w:color w:val="auto"/>
                <w:spacing w:val="-3"/>
                <w:sz w:val="20"/>
                <w:szCs w:val="20"/>
                <w:highlight w:val="none"/>
              </w:rPr>
              <w:t xml:space="preserve">超融合系统软件</w:t>
            </w:r>
            <w:r>
              <w:rPr>
                <w:rFonts w:hint="eastAsia" w:ascii="宋体" w:hAnsi="宋体" w:eastAsia="宋体" w:cs="宋体"/>
                <w:b/>
                <w:bCs/>
                <w:color w:val="auto"/>
                <w:spacing w:val="-3"/>
                <w:sz w:val="20"/>
                <w:szCs w:val="20"/>
                <w:highlight w:val="none"/>
                <w:lang w:eastAsia="zh-CN"/>
              </w:rPr>
              <w:t xml:space="preserve">（</w:t>
            </w:r>
            <w:r>
              <w:rPr>
                <w:rFonts w:hint="eastAsia" w:ascii="宋体" w:hAnsi="宋体" w:eastAsia="宋体" w:cs="宋体"/>
                <w:b/>
                <w:bCs/>
                <w:color w:val="auto"/>
                <w:spacing w:val="-3"/>
                <w:sz w:val="20"/>
                <w:szCs w:val="20"/>
                <w:highlight w:val="none"/>
                <w:lang w:val="en-US" w:eastAsia="zh-CN"/>
              </w:rPr>
              <w:t xml:space="preserve">C86</w:t>
            </w:r>
            <w:r>
              <w:rPr>
                <w:rFonts w:hint="eastAsia" w:ascii="宋体" w:hAnsi="宋体" w:eastAsia="宋体" w:cs="宋体"/>
                <w:b/>
                <w:bCs/>
                <w:color w:val="auto"/>
                <w:spacing w:val="-3"/>
                <w:sz w:val="20"/>
                <w:szCs w:val="20"/>
                <w:highlight w:val="none"/>
                <w:lang w:eastAsia="zh-CN"/>
              </w:rPr>
              <w:t xml:space="preserve">）</w:t>
            </w:r>
            <w:r/>
          </w:p>
        </w:tc>
      </w:tr>
      <w:tr>
        <w:trPr>
          <w:trHeight w:val="375"/>
        </w:trPr>
        <w:tc>
          <w:tcPr>
            <w:shd w:val="clear" w:color="auto" w:fill="auto"/>
            <w:tcW w:w="391" w:type="pct"/>
            <w:vAlign w:val="center"/>
            <w:textDirection w:val="lrTb"/>
            <w:noWrap/>
          </w:tcPr>
          <w:p>
            <w:pPr>
              <w:jc w:val="center"/>
              <w:keepLines w:val="0"/>
              <w:keepNext w:val="0"/>
              <w:widowControl/>
              <w:rPr>
                <w:rFonts w:hint="default" w:ascii="宋体" w:hAnsi="宋体" w:eastAsia="宋体" w:cs="宋体"/>
                <w:b/>
                <w:bCs/>
                <w:i w:val="0"/>
                <w:iCs w:val="0"/>
                <w:color w:val="auto"/>
                <w:sz w:val="20"/>
                <w:szCs w:val="20"/>
                <w:highlight w:val="none"/>
                <w:u w:val="none"/>
                <w:lang w:val="en-US"/>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3.1</w:t>
            </w:r>
            <w:r/>
          </w:p>
        </w:tc>
        <w:tc>
          <w:tcPr>
            <w:shd w:val="clear" w:color="auto" w:fill="auto"/>
            <w:tcW w:w="11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超融合系统软件（C86架构）</w:t>
            </w:r>
            <w:r/>
          </w:p>
        </w:tc>
        <w:tc>
          <w:tcPr>
            <w:shd w:val="clear" w:color="auto" w:fill="auto"/>
            <w:tcW w:w="248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国产化要求</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（1）提供5个内网节点和3个外网节点超融合设备的管理；</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（2）提供软件扩容授权许可（16颗CPU授权）；含同一品牌的硬件、云管、计算虚拟化、存储虚拟化、网络虚拟化和CDP授权（其中5节点为内网，3节点为外网）；</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2.▲支持内存ECC自动纠错机制，当扫描到物理主机的内存条出现ECC CE和UE错误时，能够将对应内存空间进行隔离并定位故障内存的槽位；支持选择快速全量克隆、全量克隆和链接克隆，可查看通过链接克隆的虚拟机是否运行正常，支持设置克隆完成后自动启动克隆虚拟机操作。（</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需提供具有资质的第三方检测报告，至少包括首页和正文页并加盖投标人公章</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3.为满足大规模管理运维的要求，在超融合管理平台界面上提供虚拟机删除、开关机、挂起、重启、关闭电源、迁移、迁移到其他集群、快照、标签管理等功能，以上功能均支持批量操作。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4.支持避免主机RAID卡卡死影响，一旦发现RAID卡出现卡死状态，平台支持对该主机进行隔离；支持微隔离策略，支持访问关系、历史流量和用户配置等制定相应微隔离规则。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5.支持对运行异常虚拟机进行HA拉起，包括网络异常，硬件异常，虚拟机进程异常、I/O异常挂起，修正状态异常虚拟机、主机离线等；支持主动HA，亚健康主机上的虚拟机，可热迁移至健康主机。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物理内存读性能优化配置占用主机内存比例操作；支持进行数据重建操作，重建速率达到30分钟/TB；重建过程中可以查看数据重建任务列表信息，支持点击操作中的优先级对数据重建进行优先重建；支持坏道扫描功能，可定时坏道扫描界面设置执行时间及坏道扫描任务，发现坏道后主动修复坏道区域数据。（</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需提供具有资质的第三方检测报告，至少包括首页和正文页并加盖投标人公章</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支持存储分卷功能，以物理硬盘为单位划分为不同的存储卷，可将集群内物理主机上部分SSD盘组成一个高性能存储池，满足高性能应用需求，将部分SSD盘和机械盘组成一个大容量存储池，满足低性能大容量的应用需求。所有类型不同性能磁盘均可支持分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8.虚拟机迁移支持指定网口迁移、限制迁移速度、启用压缩传输，同时虚拟机迁移过程中如因数据写入量过大迁移不完，可支持强制切换操作。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9.为避免平台虚拟机误删操作，需支持点击还原按钮，还原回收站列表指定项，可设置回收站文件保留天数，可以查看回收站列表项信息，包括名称、描述、存储和删除时间和保留时间。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10.为避免主机假死导致系列问题发生，支持识别假死主机并标签化为亚健康主机，通过邮件或短信告警提醒用户进行处理，并限制重要业务在亚健康主机上运行，规避风险。</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7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W w:w="41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bl>
    <w:p>
      <w:pPr>
        <w:numPr>
          <w:ilvl w:val="0"/>
          <w:numId w:val="10"/>
        </w:numPr>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网络及安全系统</w:t>
      </w:r>
      <w:r/>
    </w:p>
    <w:tbl>
      <w:tblPr>
        <w:tblStyle w:val="91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6"/>
        <w:gridCol w:w="2213"/>
        <w:gridCol w:w="4192"/>
        <w:gridCol w:w="417"/>
        <w:gridCol w:w="418"/>
        <w:gridCol w:w="656"/>
      </w:tblGrid>
      <w:tr>
        <w:trPr>
          <w:trHeight w:val="375"/>
        </w:trPr>
        <w:tc>
          <w:tcPr>
            <w:gridSpan w:val="6"/>
            <w:shd w:val="clear" w:color="auto" w:fill="auto"/>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网络及安全系统</w:t>
            </w:r>
            <w:r/>
          </w:p>
        </w:tc>
      </w:tr>
      <w:tr>
        <w:trPr>
          <w:trHeight w:val="270"/>
        </w:trPr>
        <w:tc>
          <w:tcPr>
            <w:shd w:val="clear" w:color="auto" w:fill="auto"/>
            <w:tcW w:w="3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W w:w="24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gridSpan w:val="6"/>
            <w:shd w:val="clear" w:color="auto" w:fill="auto"/>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cs="宋体"/>
                <w:b/>
                <w:bCs/>
                <w:i w:val="0"/>
                <w:iCs w:val="0"/>
                <w:color w:val="auto"/>
                <w:sz w:val="20"/>
                <w:szCs w:val="20"/>
                <w:highlight w:val="none"/>
                <w:u w:val="none"/>
                <w:lang w:val="en-US" w:eastAsia="zh-CN" w:bidi="ar"/>
              </w:rPr>
              <w:t xml:space="preserve">一</w:t>
            </w:r>
            <w:r>
              <w:rPr>
                <w:rFonts w:hint="eastAsia" w:ascii="宋体" w:hAnsi="宋体" w:eastAsia="宋体" w:cs="宋体"/>
                <w:b/>
                <w:bCs/>
                <w:i w:val="0"/>
                <w:iCs w:val="0"/>
                <w:color w:val="auto"/>
                <w:sz w:val="20"/>
                <w:szCs w:val="20"/>
                <w:highlight w:val="none"/>
                <w:u w:val="none"/>
                <w:lang w:val="en-US" w:eastAsia="zh-CN" w:bidi="ar"/>
              </w:rPr>
              <w:t xml:space="preserve">、网络系统硬件</w:t>
            </w:r>
            <w:r/>
          </w:p>
        </w:tc>
      </w:tr>
      <w:tr>
        <w:trPr>
          <w:trHeight w:val="27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网络交换设备</w:t>
            </w:r>
            <w:r/>
          </w:p>
        </w:tc>
        <w:tc>
          <w:tcPr>
            <w:shd w:val="clear" w:color="auto" w:fill="auto"/>
            <w:tcW w:w="246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W w:w="242"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W w:w="242"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W w:w="383"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90"/>
        </w:trPr>
        <w:tc>
          <w:tcPr>
            <w:shd w:val="clear" w:color="auto" w:fill="auto"/>
            <w:tcW w:w="3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内网核心交换机</w:t>
            </w:r>
            <w:r/>
          </w:p>
        </w:tc>
        <w:tc>
          <w:tcPr>
            <w:shd w:val="clear" w:color="auto" w:fill="auto"/>
            <w:tcW w:w="2461" w:type="pct"/>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本次配置双主控，电源≥4块，≥24端口25G以太网光接口(SFP28)+24端口万兆多速率以太网电接口(RJ45)+6端口100G以太网光接口模块(QSFP28)(SF)+48端口万兆以太网光接口模块(SFP+)(SF)，提供24个25G光模块，4个40G光模块，2个100G光模块，46个万兆多模光模块，2个万兆单模模块40km。所提供的光模块需与交换机设备同品牌，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2、交换容量≥1800T，包转发率≥460000M，交换网板槽位数≥6个，业务板槽位数≥8个。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3、单板最大40G端口数≧48。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4、CPU、交换芯片、内存均为国产芯片；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5、MAC表项≥750K，ACL表项≥1000K，ARP表项≥1M， IPv4路由转发表容量≥4M，IPv6路由转发表容量≥2M。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6、▲支持多业务板卡，支持独立的硬件防火墙/IPS/ACG/LB，非通过外置硬件设备支持。（</w:t>
            </w:r>
            <w:r>
              <w:rPr>
                <w:rStyle w:val="932"/>
                <w:color w:val="auto"/>
                <w:highlight w:val="none"/>
                <w:lang w:val="en-US" w:eastAsia="zh-CN" w:bidi="ar"/>
              </w:rPr>
              <w:t xml:space="preserve">提供官方网站截图证明加盖投标人公章</w:t>
            </w:r>
            <w:r>
              <w:rPr>
                <w:rStyle w:val="933"/>
                <w:color w:val="auto"/>
                <w:highlight w:val="none"/>
                <w:lang w:val="en-US" w:eastAsia="zh-CN" w:bidi="ar"/>
              </w:rPr>
              <w:t xml:space="preserve">）。</w:t>
            </w:r>
            <w:r>
              <w:rPr>
                <w:rStyle w:val="933"/>
                <w:color w:val="auto"/>
                <w:highlight w:val="none"/>
                <w:lang w:val="en-US" w:eastAsia="zh-CN" w:bidi="ar"/>
              </w:rPr>
              <w:br/>
            </w:r>
            <w:r>
              <w:rPr>
                <w:rStyle w:val="933"/>
                <w:color w:val="auto"/>
                <w:highlight w:val="none"/>
                <w:lang w:val="en-US" w:eastAsia="zh-CN" w:bidi="ar"/>
              </w:rPr>
              <w:t xml:space="preserve">7、支持跨数据中心的二层互联技术（DCI技术），使各数据中心各节点可以实现二层互通。支持VxLAN二层网关，VxLAN三层网关。支持多虚一技术(N:1)：支持2台以上物理设备虚拟化为1台设备，统一管理并实现流量负载分担。支持一虚多技术（1:N）：支持将1台设备虚拟为多台虚拟交换机，虚拟交换机增加，表项叠加。</w:t>
            </w:r>
            <w:r>
              <w:rPr>
                <w:rStyle w:val="933"/>
                <w:color w:val="auto"/>
                <w:highlight w:val="none"/>
                <w:lang w:val="en-US" w:eastAsia="zh-CN" w:bidi="ar"/>
              </w:rPr>
              <w:br/>
            </w:r>
            <w:r>
              <w:rPr>
                <w:rStyle w:val="933"/>
                <w:rFonts w:hint="eastAsia"/>
                <w:color w:val="auto"/>
                <w:highlight w:val="none"/>
                <w:lang w:val="en-US" w:eastAsia="zh-CN" w:bidi="ar"/>
              </w:rPr>
              <w:t xml:space="preserve">8</w:t>
            </w:r>
            <w:r>
              <w:rPr>
                <w:rStyle w:val="933"/>
                <w:color w:val="auto"/>
                <w:highlight w:val="none"/>
                <w:lang w:val="en-US" w:eastAsia="zh-CN" w:bidi="ar"/>
              </w:rPr>
              <w:t xml:space="preserve">、具备交换网板、主控引擎、业务板卡独立插槽。</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部署内网</w:t>
            </w:r>
            <w:r/>
          </w:p>
        </w:tc>
      </w:tr>
      <w:tr>
        <w:trPr>
          <w:trHeight w:val="1370"/>
        </w:trPr>
        <w:tc>
          <w:tcPr>
            <w:shd w:val="clear" w:color="auto" w:fill="auto"/>
            <w:tcW w:w="3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内网超融合前端交换机</w:t>
            </w:r>
            <w:r/>
          </w:p>
        </w:tc>
        <w:tc>
          <w:tcPr>
            <w:shd w:val="clear" w:color="auto" w:fill="auto"/>
            <w:tcW w:w="246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交换容量≥4.8Tbps，包转发率≥2000Mpps，整机提供≥48个万兆以太网光口，2个40G以太网光接口，4个100G接口；提供不少于24个万兆多模光模块，所提供的光模块需与交换机设备同品牌，含3年质保服务。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产品采用国产化核心芯片。</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2、支持IPv4和IPv6双协议栈，支持RIP、OSPF、IS-IS、BG</w:t>
            </w:r>
            <w:r>
              <w:rPr>
                <w:rFonts w:hint="eastAsia" w:ascii="宋体" w:hAnsi="宋体" w:eastAsia="宋体" w:cs="宋体"/>
                <w:i w:val="0"/>
                <w:iCs w:val="0"/>
                <w:color w:val="auto"/>
                <w:sz w:val="20"/>
                <w:szCs w:val="20"/>
                <w:highlight w:val="none"/>
                <w:u w:val="none"/>
                <w:lang w:val="en-US" w:eastAsia="zh-CN" w:bidi="ar"/>
              </w:rPr>
              <w:t xml:space="preserve">P、等价路由、策略路由；MAC地址表≥260K，路由表≥98K，ARP表≥94K；支持GRE隧道剥离封装，支持同源同宿，支持报文截断，识别指定报文，修改mac地址或IP地址后复制转发；支持 Telemetry 技术，实时采集设备数据并上送至网络分析组件平台，实现流量可视化；支持集群或堆叠多虚一技术，实现单一界面管理多台设备；支持VXLAN网关功能，支持BGP EVPN协议；支持灵活的队列调度算法，可以同时基于端口和队列进行设置，支持SP、WDRR、SP+WDRR等多种模式；配置热插拔双电源、热插拔风扇≥4。</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757"/>
        </w:trPr>
        <w:tc>
          <w:tcPr>
            <w:shd w:val="clear" w:color="auto" w:fill="auto"/>
            <w:tcW w:w="3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内网超融合后端交换机</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交换容量≥4.8Tbps，包转发率≥2000Mpps，整机提供≥48个万兆以太网光口，2个40G以太网光接口，4个100G接口；提供不少于24个万兆多模光模块，所提供的光模块需与交换机设备同品牌，含3年质保服务。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产品采用国产化核心芯片。</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2、支持IPv4和IPv6双协议栈，支持RIP、OSPF、IS-IS、BG</w:t>
            </w:r>
            <w:r>
              <w:rPr>
                <w:rFonts w:hint="eastAsia" w:ascii="宋体" w:hAnsi="宋体" w:eastAsia="宋体" w:cs="宋体"/>
                <w:i w:val="0"/>
                <w:iCs w:val="0"/>
                <w:color w:val="auto"/>
                <w:sz w:val="20"/>
                <w:szCs w:val="20"/>
                <w:highlight w:val="none"/>
                <w:u w:val="none"/>
                <w:lang w:val="en-US" w:eastAsia="zh-CN" w:bidi="ar"/>
              </w:rPr>
              <w:t xml:space="preserve">P、等价路由、策略路由；MAC地址表≥260K，路由表≥98K，ARP表≥94K；支持GRE隧道剥离封装，支持同源同宿，支持报文截断，识别指定报文，修改mac地址或IP地址后复制转发；支持 Telemetry 技术，实时采集设备数据并上送至网络分析组件平台，实现流量可视化；支持集群或堆叠多虚一技术，实现单一界面管理多台设备；支持VXLAN网关功能，支持BGP EVPN协议；支持灵活的队列调度算法，可以同时基于端口和队列进行设置，支持SP、WDRR、SP+WDRR等多种模式；配置热插拔双电源、热插拔风扇≥4。</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90"/>
        </w:trPr>
        <w:tc>
          <w:tcPr>
            <w:shd w:val="clear" w:color="auto" w:fill="auto"/>
            <w:tcW w:w="3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OLT设备</w:t>
            </w:r>
            <w:r/>
          </w:p>
        </w:tc>
        <w:tc>
          <w:tcPr>
            <w:shd w:val="clear" w:color="auto" w:fill="auto"/>
            <w:tcW w:w="2461"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主控板交换容量≥8Tbit/s，业务板每槽位最大带宽≥200Gbit/s，业务槽位≥15个；设备支持GPON端口数≥240；设备支持XGS-PON端口数≥240；实配：双主控，冗余电源，每块主控板提供4个万兆上行接口，本次单台一共配置8个万兆上行光模块，32个XGS-PON下行端口（满配光模块），所提供的光模块需与OLT设备同品牌，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2.支持主备控制卡，每个插框配置2块主控板，当主用主控板出现故障、复位等异常后，业务会自动切换到备用主控板上，保障主控功能及相关业务不会中断；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3.支持GPON、XG-PON、XGS-PON、GE和10GE接入；设备的主控模块支持配置冗余备份；</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4.支持TypeB/TypeC双归属实现异地容灾备份保护；支持流氓ONU检测功能，可实现秒级实时检测和流氓ONU自动隔离；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5.▲设备关键芯片自研可控（</w:t>
            </w:r>
            <w:r>
              <w:rPr>
                <w:rStyle w:val="932"/>
                <w:color w:val="auto"/>
                <w:highlight w:val="none"/>
                <w:lang w:val="en-US" w:eastAsia="zh-CN" w:bidi="ar"/>
              </w:rPr>
              <w:t xml:space="preserve">需提供具有资质的第三方检测报告，至少包括首页和正文页并加盖投标人公章</w:t>
            </w:r>
            <w:r>
              <w:rPr>
                <w:rStyle w:val="933"/>
                <w:color w:val="auto"/>
                <w:highlight w:val="none"/>
                <w:lang w:val="en-US" w:eastAsia="zh-CN" w:bidi="ar"/>
              </w:rPr>
              <w:t xml:space="preserve">）；</w:t>
            </w:r>
            <w:r>
              <w:rPr>
                <w:rStyle w:val="933"/>
                <w:color w:val="auto"/>
                <w:highlight w:val="none"/>
                <w:lang w:val="en-US" w:eastAsia="zh-CN" w:bidi="ar"/>
              </w:rPr>
              <w:br/>
            </w:r>
            <w:r>
              <w:rPr>
                <w:rStyle w:val="933"/>
                <w:rFonts w:hint="eastAsia"/>
                <w:color w:val="auto"/>
                <w:highlight w:val="none"/>
                <w:lang w:val="en-US" w:eastAsia="zh-CN" w:bidi="ar"/>
              </w:rPr>
              <w:t xml:space="preserve">6</w:t>
            </w:r>
            <w:r>
              <w:rPr>
                <w:rStyle w:val="933"/>
                <w:color w:val="auto"/>
                <w:highlight w:val="none"/>
                <w:lang w:val="en-US" w:eastAsia="zh-CN" w:bidi="ar"/>
              </w:rPr>
              <w:t xml:space="preserve">.▲支持硬管道隔离技术实现硬管道专网之间可以使用重复的MAC地址和VLAN且互补干扰并能分配独立的带宽（</w:t>
            </w:r>
            <w:r>
              <w:rPr>
                <w:rStyle w:val="932"/>
                <w:color w:val="auto"/>
                <w:highlight w:val="none"/>
                <w:lang w:val="en-US" w:eastAsia="zh-CN" w:bidi="ar"/>
              </w:rPr>
              <w:t xml:space="preserve">需提供具有资质的第三方检测报告，至少包括首页和正文页并加盖投标人公章</w:t>
            </w:r>
            <w:r>
              <w:rPr>
                <w:rStyle w:val="933"/>
                <w:color w:val="auto"/>
                <w:highlight w:val="none"/>
                <w:lang w:val="en-US" w:eastAsia="zh-CN" w:bidi="ar"/>
              </w:rPr>
              <w:t xml:space="preserve">）。</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both"/>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r>
            <w:r/>
          </w:p>
        </w:tc>
      </w:tr>
      <w:tr>
        <w:trPr>
          <w:trHeight w:val="1433"/>
        </w:trPr>
        <w:tc>
          <w:tcPr>
            <w:shd w:val="clear" w:color="auto" w:fill="auto"/>
            <w:tcW w:w="3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光网络管理软件</w:t>
            </w:r>
            <w:r/>
          </w:p>
        </w:tc>
        <w:tc>
          <w:tcPr>
            <w:shd w:val="clear" w:color="auto" w:fill="auto"/>
            <w:tcW w:w="2461" w:type="pct"/>
            <w:vAlign w:val="center"/>
            <w:textDirection w:val="lrTb"/>
            <w:noWrap w:val="false"/>
          </w:tcPr>
          <w:p>
            <w:pPr>
              <w:numPr>
                <w:ilvl w:val="0"/>
                <w:numId w:val="11"/>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系统应支持大规模设备管理能力，可管理不少于20000网元；系统应支持多种设备的管理，包括交换机、路由器、防火墙、WLAN、服务器、存储、操作系统、数据库、WEB应用、摄像头、GPON设备、微波、超融合、虚拟化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系统应支持对PON网络的OLT/ONU设备进行网元基本信息、网元状态、关键KPI监控，实现PON网络中设备的统一监控；提供统一的管理和展现页面，支持灵活定义的管理视图配置，在各种类型的视图中，可以方便地查看到被管理资源的状态、主要性能信息以及告警信息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系统提供三种北向接口（SNMP、FTP及Restful接口），可通过北向接口向上层系统提供告警、性能以及资源数据；系统应支持对接主流规划工具，可快速导入网规数据，仿真楼栋、楼层、障碍物规划，实现信号覆盖可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4.系统应支持一站式网络设备（包含交换机、路由器、防火墙、AC等设备）仪表盘，通过设备、部件、仿真面板、运行状态等关键信息的集成显示，帮助运维人员快速全方位了解设备;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eastAsia="宋体" w:cs="宋体"/>
                <w:i/>
                <w:iCs/>
                <w:color w:val="auto"/>
                <w:sz w:val="20"/>
                <w:szCs w:val="20"/>
                <w:highlight w:val="none"/>
                <w:u w:val="single"/>
                <w:lang w:val="en-US" w:eastAsia="zh-CN" w:bidi="ar"/>
              </w:rPr>
              <w:t xml:space="preserve">配置要求：配置不少于300个网络设备资产授权</w:t>
            </w: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default" w:ascii="宋体" w:hAnsi="宋体" w:eastAsia="宋体" w:cs="宋体"/>
                <w:i w:val="0"/>
                <w:iCs w:val="0"/>
                <w:color w:val="auto"/>
                <w:sz w:val="20"/>
                <w:szCs w:val="20"/>
                <w:highlight w:val="none"/>
                <w:u w:val="none"/>
                <w:lang w:val="en-US" w:eastAsia="zh-CN"/>
              </w:rPr>
            </w:r>
            <w:r/>
          </w:p>
        </w:tc>
      </w:tr>
      <w:tr>
        <w:trPr>
          <w:trHeight w:val="270"/>
        </w:trPr>
        <w:tc>
          <w:tcPr>
            <w:gridSpan w:val="6"/>
            <w:shd w:val="clear" w:color="auto" w:fill="auto"/>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cs="宋体"/>
                <w:b/>
                <w:bCs/>
                <w:i w:val="0"/>
                <w:iCs w:val="0"/>
                <w:color w:val="auto"/>
                <w:sz w:val="20"/>
                <w:szCs w:val="20"/>
                <w:highlight w:val="none"/>
                <w:u w:val="none"/>
                <w:lang w:val="en-US" w:eastAsia="zh-CN" w:bidi="ar"/>
              </w:rPr>
              <w:t xml:space="preserve">二</w:t>
            </w:r>
            <w:r>
              <w:rPr>
                <w:rFonts w:hint="eastAsia" w:ascii="宋体" w:hAnsi="宋体" w:eastAsia="宋体" w:cs="宋体"/>
                <w:b/>
                <w:bCs/>
                <w:i w:val="0"/>
                <w:iCs w:val="0"/>
                <w:color w:val="auto"/>
                <w:sz w:val="20"/>
                <w:szCs w:val="20"/>
                <w:highlight w:val="none"/>
                <w:u w:val="none"/>
                <w:lang w:val="en-US" w:eastAsia="zh-CN" w:bidi="ar"/>
              </w:rPr>
              <w:t xml:space="preserve">、网络安全系统</w:t>
            </w:r>
            <w:r/>
          </w:p>
        </w:tc>
      </w:tr>
      <w:tr>
        <w:trPr>
          <w:trHeight w:val="27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外网安全</w:t>
            </w:r>
            <w:r/>
          </w:p>
        </w:tc>
        <w:tc>
          <w:tcPr>
            <w:shd w:val="clear" w:color="auto" w:fill="auto"/>
            <w:tcW w:w="246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W w:w="242"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W w:w="242"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W w:w="383"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62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负载均衡</w:t>
            </w:r>
            <w:r/>
          </w:p>
        </w:tc>
        <w:tc>
          <w:tcPr>
            <w:shd w:val="clear" w:color="auto" w:fill="auto"/>
            <w:tcW w:w="4192" w:type="dxa"/>
            <w:vAlign w:val="center"/>
            <w:textDirection w:val="lrTb"/>
            <w:noWrap w:val="false"/>
          </w:tcPr>
          <w:p>
            <w:pPr>
              <w:numPr>
                <w:ilvl w:val="0"/>
                <w:numId w:val="12"/>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要求国产化、4层吞吐量（默认网口）≥20G，4层新建连接数CPS≥30W，7层新建连接数RPS≥50W；内存大小≥16G，硬盘容量≥480G SSD，电源：冗余电源，接口≥6千兆电口+2万兆光口。支持商密及国密SSL卸载、IPv6至IPv4的转换，含3年质保服务，需配合我单位实现互联网出口电信、移动、联通专线的负载均衡，保障各运营商用户均可稳定访问我单位提供的各类对外服务。需配合我单位实施门户网站IPv6改造及国密SSL改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2.支持TCP连接复用功能；支持基于源IP地址、源端口、目的IP地址、目的端口、传输层协议号来进行出站访问的流量调度分发；支持在同一个虚拟服务下同时配置多个 IPv4 和 IPv6 地址以及多个不连续应用端口或者端口范围；</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链路负载均衡支持轮询、带宽比例、加权最小流量、动态就近性和加权源IP哈希等算法；支持DNS透明代理功能，可基于负载均衡算法代理内网用户进行DNS请求转发；支持基于域名的流量调度，针对特定网站选择指定的链路转发；能够识别内网用户，并根据其DNS请求直接返回相应的解析结果；内置完备的IP地址库，并可灵活匹配IP地址库进行流量调度分发，实现链路负载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4.支持被动式和主动式健康检查，可根据对业务流量的观测采样，辅助判断应用服务器健康状况。</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部署外网</w:t>
            </w:r>
            <w:r/>
          </w:p>
        </w:tc>
      </w:tr>
      <w:tr>
        <w:trPr>
          <w:trHeight w:val="368"/>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零信任网关</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要求国产化、含200并发用户数；加密最大流量≥300Mbps；支持最大理论并发用户数：≥600。内存大小≥16G，硬盘容量≥128G SSD，接口≥6个千兆电口+4个千兆光口，支持接入现安全态势感知平台实现联动，支持接入短信平台，含3年质保服务。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rasp防护，基于脚本行为的方式进行漏洞攻击识别及防护，能有效防御基于传统签名方式无法有效防护的应用漏洞；支持配置点击工作台的业务应用即可直接拉起对应的CS程序进行访问；支持以私有DNS发布企业资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能够执行用户登录时间异常、设备认证异常、地理位置异常情况下二次认证访问控制策略；支持以文件为单位，对工作应用产生的数据进行加密保存；支持用户批量导入/导出；支持将优化短隧道资源新建连接耗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自助找回密码功能，允许用户通过短信验证码方式自助找回密码，且零信任客户端用户能够重置密码；支持多因素认证，结合已对接的主认证和辅认证类型进行设置，采用首次认证+二次认证+终端认证+增强认证等方式。（</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5.可查看接入系统的终端详细类型，支持软件分发功能。</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部署外网</w:t>
            </w:r>
            <w:r/>
          </w:p>
        </w:tc>
      </w:tr>
      <w:tr>
        <w:trPr>
          <w:trHeight w:val="360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上网行为管理</w:t>
            </w:r>
            <w:r/>
          </w:p>
        </w:tc>
        <w:tc>
          <w:tcPr>
            <w:shd w:val="clear" w:color="auto" w:fill="auto"/>
            <w:tcW w:w="4192" w:type="dxa"/>
            <w:vAlign w:val="center"/>
            <w:textDirection w:val="lrTb"/>
            <w:noWrap w:val="false"/>
          </w:tcPr>
          <w:p>
            <w:pPr>
              <w:numPr>
                <w:ilvl w:val="0"/>
                <w:numId w:val="13"/>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要求国产化、网络层吞吐量≥10Gb，支持用户数≥6000；带宽性能≥1Gb，规格：≥2U，内存大小≥8G，硬盘容量≥960G SSD，电源：冗余电源，接口≥6个千兆电口+4个千兆光口，支持接入现安全态势感知平台实现联动，含3年质保服务，含3年URL特征库。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针对用户的web访问质量检测；支持记录全部或者指定类别内容等信息；支持自动注销指定时间内无流量的已认证用户；支持用户名密码认证、IP/MAC认证、短信认证等本地认证方式；支持不同用户推送不同认证页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3.▲支持SSL中间人解密和准入客户端解密；支持外发截屏，能自动截取外发时刻的屏幕，并记录到文件审计日志。（</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针对内网用户的web访问质量检测，有对当前网络诊断的结果评级信息，并可查看影响用户；支持输入单用户IP或者选择组织结构里单用户的方式检测上网质量；支持服务器外联行为及流量审计；设备支持路由模式、单臂模式、网桥模式、旁路模式等部署模式；支持用户名密码认证、IP/MAC认证、短信认证等本地认证方式；支持radius、AD、POP3、Proxy、PPPOE、 H3C IMC/CAMS、锐捷 SAM、城市热点等系统进行认证单点登录；可强制指定用户、指定IP段的用户必须使用单点登录。</w:t>
            </w:r>
            <w:r/>
          </w:p>
          <w:p>
            <w:pPr>
              <w:rPr>
                <w:rFonts w:hint="eastAsia" w:ascii="宋体" w:hAnsi="宋体" w:eastAsia="宋体" w:cs="宋体"/>
                <w:sz w:val="20"/>
                <w:szCs w:val="20"/>
              </w:rPr>
            </w:pPr>
            <w:r>
              <w:rPr>
                <w:rFonts w:hint="eastAsia" w:ascii="宋体" w:hAnsi="宋体" w:eastAsia="宋体" w:cs="宋体"/>
                <w:sz w:val="20"/>
                <w:szCs w:val="20"/>
              </w:rPr>
            </w:r>
            <w:r>
              <w:rPr>
                <w:rFonts w:hint="eastAsia" w:ascii="宋体" w:hAnsi="宋体" w:eastAsia="宋体" w:cs="宋体"/>
                <w:sz w:val="20"/>
                <w:szCs w:val="20"/>
              </w:rPr>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部署外网</w:t>
            </w:r>
            <w:r>
              <w:rPr>
                <w:rFonts w:hint="eastAsia" w:ascii="宋体" w:hAnsi="宋体" w:eastAsia="宋体" w:cs="宋体"/>
                <w:i w:val="0"/>
                <w:iCs w:val="0"/>
                <w:color w:val="ff0000"/>
                <w:sz w:val="20"/>
                <w:szCs w:val="20"/>
                <w:highlight w:val="none"/>
                <w:u w:val="none"/>
                <w:lang w:val="en-US" w:eastAsia="zh-CN" w:bidi="ar"/>
              </w:rPr>
              <w:t xml:space="preserve">+1</w:t>
            </w:r>
            <w:r/>
          </w:p>
        </w:tc>
      </w:tr>
      <w:tr>
        <w:trPr>
          <w:trHeight w:val="474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外网备份一体机</w:t>
            </w:r>
            <w:r/>
          </w:p>
        </w:tc>
        <w:tc>
          <w:tcPr>
            <w:shd w:val="clear" w:color="auto" w:fill="auto"/>
            <w:tcW w:w="4192" w:type="dxa"/>
            <w:vAlign w:val="center"/>
            <w:textDirection w:val="lrTb"/>
            <w:noWrap w:val="false"/>
          </w:tcPr>
          <w:p>
            <w:pPr>
              <w:numPr>
                <w:ilvl w:val="0"/>
                <w:numId w:val="14"/>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要求国产化、规格：C86架构的国产化处理器，单颗处理器物理核数≥16核，单颗处理器主频≥2.5GHz（非超频），芯片型号通过具有资质的系统检测机构的安全可靠测评，内存≥4*32GB DDR5，系统盘≥2*480GB SATA，数据盘≥8T*8，标配盘位数不少于12个，电源：冗余电源，接口≥4个千兆电口+2个万兆光口。含3年质保服务。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2.提供Oracle RAC虚拟化验证时，可自动化配置集群网卡、聚合网卡等参数；备份系统网络可配置“网卡关闭/开启策略”，还可将除备份数据传输端口外的SSH、网络访问等网络端口全部关闭，杜绝异常网络访问。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3.当备份存储系统发生故障时，能够通过备份数据进行系统还原。无需在虚拟机中安装任何客户端代理即可实现定时备份保护功能。支持定期执行完整备份，备份整个系统或数据集。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4.可同时启动多个虚拟机对集群业务系统、Oracle RAC等共享存储的集群数据库和应用提供快速整机虚拟化验证；支持整机全场景恢复，无需部署配置操作系统、应用和数据库等系统环境，实现全场景带业务逻辑的整机灾难重建。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可自建隔离私有虚拟化验证环境，执行虚拟化验证备份数据的一致性和可靠性，在灾难发生时快速定位出最佳数据恢复的备份历史点；备份系统的系统维护后台满足动态口令机制；支持对备份系统用户的分级管理；支持任意的小时/天等策略执行定时备份；支持记录所有用户的操作日志；支持Oracle、SQL Server、MySQL、达梦等国内外主流数据库的在线备份；支持兼容对深信服、华为等主流超融合平台备份能力。</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1 </w:t>
            </w:r>
            <w:r/>
          </w:p>
        </w:tc>
        <w:tc>
          <w:tcPr>
            <w:shd w:val="clear" w:color="auto" w:fill="auto"/>
            <w:tcW w:w="383"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部署外网</w:t>
            </w:r>
            <w:r/>
          </w:p>
        </w:tc>
      </w:tr>
      <w:tr>
        <w:trPr>
          <w:trHeight w:val="474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网闸</w:t>
            </w:r>
            <w:r/>
          </w:p>
        </w:tc>
        <w:tc>
          <w:tcPr>
            <w:shd w:val="clear" w:color="auto" w:fill="auto"/>
            <w:tcW w:w="4192" w:type="dxa"/>
            <w:vAlign w:val="center"/>
            <w:textDirection w:val="lrTb"/>
            <w:noWrap w:val="false"/>
          </w:tcPr>
          <w:p>
            <w:pPr>
              <w:numPr>
                <w:ilvl w:val="0"/>
                <w:numId w:val="15"/>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要求国产化：国产化CPU(不小于2.8Ghz、8核)，冗余电源；采用“2+1”系统架构，即由两个主机系统和一个</w:t>
            </w:r>
            <w:r>
              <w:rPr>
                <w:rFonts w:hint="eastAsia" w:ascii="宋体" w:hAnsi="宋体" w:eastAsia="宋体" w:cs="宋体"/>
                <w:i/>
                <w:iCs/>
                <w:color w:val="auto"/>
                <w:sz w:val="20"/>
                <w:szCs w:val="20"/>
                <w:highlight w:val="none"/>
                <w:u w:val="single"/>
                <w:lang w:val="en-US" w:eastAsia="zh-CN" w:bidi="ar"/>
              </w:rPr>
              <w:t xml:space="preserve">隔离交换专用硬件组成；内外网接口：配置千兆电口≥8个，千兆光口≥8个，万兆光口≥4个，扩展槽位≥1个（可扩展万兆光口），≥ 2个USB口，≥1个串口； 外网接口：配置千兆电口≥8个、千兆光口≥8个，万兆光口≥4个，扩展槽位≥1个（可扩展万兆光口）；应用层吞吐量不小于9.5Gbps，并发连接数不小于100万，延时小于1ms；具备HA工作状态监控显示功能、液晶屏、64G SSD；提供对外WEB服务实现文件交换审核管理、FTP访问、文件同步、数据库同步、数据库传输、安全浏览、安全传输等功能等功能。含3年质保服务；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2、内外网主机系统要求支持容灾备份功能：分别内置三操作系统（系统A、系统B、备份系统），当系统A发生故障时，系统B可以根据备份系统实时备份的配置信息进行无缝接管，同时支持配置文件加密导出。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3、支持将网口配置成VLAN接口；支持单业务模块的实时流量和历史多维度流量的统计展示；支持对外开启WEB服务；支持用户文件审核管理。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4、▲文件交换模块要求支持文件格式特征过滤能力：支持提供图形化的文件类型判断工具（</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5、支持文件传输方向可控，实现单向或双向传输；支持SIP、GB35114、GB/T 28181、DB33、H.323、ONVIF、RTSP、国电B类接口等通用协议；支持ORACLE、SQLSERVER、MYSQL、SYBASE、DB2、POSTGRESQL、MariaDB、达梦、人大金仓、神舟通用、南大通用、优炫等数据库同步。具有抗DDoS攻击功能，支持抗攻击功能，能够识别和防御SYN Flood、ICMP Flood等攻击。</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部署内外网间</w:t>
            </w:r>
            <w:r/>
          </w:p>
        </w:tc>
      </w:tr>
      <w:tr>
        <w:trPr>
          <w:trHeight w:val="27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内网安全</w:t>
            </w:r>
            <w:r/>
          </w:p>
        </w:tc>
        <w:tc>
          <w:tcPr>
            <w:shd w:val="clear" w:color="auto" w:fill="auto"/>
            <w:tcW w:w="246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24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242"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383"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外联防火墙</w:t>
            </w:r>
            <w:r/>
          </w:p>
        </w:tc>
        <w:tc>
          <w:tcPr>
            <w:shd w:val="clear" w:color="auto" w:fill="auto"/>
            <w:tcW w:w="246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吞吐量≥20G，并发连接数≥500W，每秒新建连接数≥10W，千兆电口≥8个，万兆光口≥12个，需与现有防火墙实现双机热备。</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内网出口</w:t>
            </w:r>
            <w:r/>
          </w:p>
        </w:tc>
      </w:tr>
      <w:tr>
        <w:trPr>
          <w:trHeight w:val="2675"/>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安全融合网关</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 单台配置：</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（1）双电源，双主控；</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（2）接口：≥10个SFP+万兆光口，≥20个SFP千兆光口，≥30个千兆电口；</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（3）性能：防火墙吞吐量≥80G，IPS+防病毒+WAF吞吐量≥30G，并发连接数≥1500W，每秒新建连接数≥70W；</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（4）需具备防火墙、IPS、防病毒、WAF功能，配置3年IPS库、3年病毒库、3年WAF库升级授权。</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中文管理界面、支持FTP、TFTP、Xmodem、支持WEB管理、支持SNMP、支持RMON；采用统一的界面管理，支持所有节点及功能统一IP管理。支持自动生成安全策略。统一管理平台可通过对流量日志的统计整理，自动生成安全策略，并下发给防火墙。支持通过命令行的方式对内部数据流进行快速定位。访问控制策略支持基于源、目的、IP、端口、用户（组）、应用、服务等细化控制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发现威胁攻击后以隔离、Web重定向等响应方式隔离风险源；支持DDoS指纹防护功能；支持高级威胁检测技术；支持多协议，可识别多种文件类型；支持暴力破解检测，支持多种网络协议及暴力破解检测方式；可根据CVE编号查询具体的攻击特征；支持攻击事件大屏展示功能；支持Web层面的漏洞攻击防护；支持对上传文件的检查；支持Webshell非法上传防护。</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部署内网</w:t>
            </w:r>
            <w:r/>
          </w:p>
        </w:tc>
      </w:tr>
      <w:tr>
        <w:trPr>
          <w:trHeight w:val="3855"/>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内网备份一体机</w:t>
            </w:r>
            <w:r/>
          </w:p>
        </w:tc>
        <w:tc>
          <w:tcPr>
            <w:shd w:val="clear" w:color="auto" w:fill="auto"/>
            <w:tcW w:w="4192" w:type="dxa"/>
            <w:vAlign w:val="center"/>
            <w:textDirection w:val="lrTb"/>
            <w:noWrap w:val="false"/>
          </w:tcPr>
          <w:p>
            <w:pPr>
              <w:numPr>
                <w:ilvl w:val="0"/>
                <w:numId w:val="16"/>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规格：≥2U，要求国产化：C86架构的国产化处理器，单颗处理器物理核数≥16核，单颗处理器主频≥2.5GHz（非超频），芯片型号通过具有资质的系统检测机构的安全可靠测评，内存≥4*32GB DDR5，系统盘≥2*480GB SATA，数据盘≥16T*12，电源：冗余电源，接口≥4个千兆电口+2个万兆光口（含2个万兆光模块）。基于Web方式管理，不限主机备份数量，不限Oracle RAC CDM备份数量，不限主机演练数量，不限CDP数量，20个虚拟机容灾接管授权。含3年质保服务。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2.支持基于磁盘逻辑卷进行Block级同步，仅备份有效数据块；支持断点续传特性；支持设备列表内设备分组的批量操作功能；支持按时间段设置同步限速和快照，可以设定只允许在某个时间段进行同</w:t>
            </w:r>
            <w:r>
              <w:rPr>
                <w:rFonts w:hint="eastAsia" w:ascii="宋体" w:hAnsi="宋体" w:eastAsia="宋体" w:cs="宋体"/>
                <w:i w:val="0"/>
                <w:iCs w:val="0"/>
                <w:color w:val="auto"/>
                <w:sz w:val="20"/>
                <w:szCs w:val="20"/>
                <w:highlight w:val="none"/>
                <w:u w:val="none"/>
                <w:lang w:val="en-US" w:eastAsia="zh-CN" w:bidi="ar"/>
              </w:rPr>
              <w:t xml:space="preserve">步或快照时间段；支持任意的小时/天等策略执行定时备份；支持Windows 2003\2008\2012\2016\2019\2022各发行版本Windows Server操作系统，并提供对更高版本Windows Server操作系统进行客户端适配；支持内核版本在2.6.9以上的如redaht4、5、6、7\CentOS4、5、6、7\Fedora\SUSE\Ubuntu12、14、16、18\中标麒麟\欧拉\银河麒麟\普华系列等Linux操作系统，并提供对更高版本或特殊版本Linux操作系统进行客户端适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3.支持国内外主流数据库，如Oracle,SQL Server,Sybase，MySQL，DB2,cache、达梦等；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支持VMware、KVM、Hyper-V、Citrix、OpenStack等虚拟化平台；支持FusionSphere、H3C CAS、InCloud Sphere、zstack等国产化虚拟化平台；支持VMware、FusionSphere、H3C CAS等主流私有云平台；支持阿里、腾讯、华为、京东、华三等主流公有云平台；</w:t>
            </w:r>
            <w:r/>
          </w:p>
          <w:p>
            <w:pPr>
              <w:numPr>
                <w:ilvl w:val="0"/>
                <w:numId w:val="0"/>
              </w:numPr>
              <w:ind w:lef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4.支持Windows动态跨区卷和Linux LVM复制迁移；支持本地磁盘、共享磁盘、多路径软件环境；数据库接口级备份、虚拟化无代理备份、整机备份、CDP等功能与应急接管容灾功能在同一个平台上实现，应急接管系统与备份数据存储空间完全独立，应急接管系统故障将不会影响备份数据，减少病毒感染机率。</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部署内网</w:t>
            </w:r>
            <w:r/>
          </w:p>
        </w:tc>
      </w:tr>
      <w:tr>
        <w:trPr>
          <w:trHeight w:val="51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堡垒机</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要求国产化：C86架构的国产化处理器，单颗处理器物理核数≥8核，单颗处理器主频≥2.3GHz（非超频），芯片型号通过具有资质的系统检测机构的安全可靠测评，内存≥16GB ECC DDR4，硬盘≥2块4TB 3.5寸SATA硬盘，≥2块480GB 2.5寸SSD热插拨硬盘，电源：双电源，接口：≥2千兆电口，1个管理网口，资产授权数≥500，含3年质保服务。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堡垒机核心代码开放和API开放。支持无插件化的浏览器访问方式，支持通过浏览器即可登陆Linux、Windows、数据库、WEB应用、C/S架构应用等资产。支持Ping、Telnet、Nmap、TCPDUMP、Traceroute系统工具，可以对资产连通性进行测试。支持自动发现VMware虚拟化、Nutanix超融合、青云私有云、华为私有云、OpenStack、天翼私有云、Fusion Compute、深信服云平台、阿里云专有云、ZStack云平台、局域网中的资产，并自动导入到堡垒机中。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3.支持自动获取资源硬件信息，包括制造商、型号、CPU规格、内存大小、硬盘大小等。支持Oracle、Postgresql、MySQL、SQL Server、ClickHouse、MongoDB、Redis、达梦等数据库审计功能；支持对数据库命令进行阻断及审批。除支持本地客户端、远程应用发布方式连接数据库外，还需支持通过 Web GUI方式直连数据库进行操作，对于使用Web GUI方式连接的数据库，支持对表名和列名进行自动补全。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支持对运维操作会话的实时阻断、日志回放，包括起止时间、来源用户、来源IP、目标设备、协议/应用类型等日志内容。支持为用户账号设置口令有效期，确保口令定期更新，以增强系统安全性，当用户口令到期时，系统将强制要求用户修改口令，确保账户的安全性。支持全局标签管理，支持对资产、用户、资产账户、资产规则进行打标签。</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内外网统一纳管</w:t>
            </w:r>
            <w:r/>
          </w:p>
        </w:tc>
      </w:tr>
      <w:tr>
        <w:trPr>
          <w:trHeight w:val="283"/>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安全利旧设备服务升级</w:t>
            </w:r>
            <w:r/>
          </w:p>
        </w:tc>
        <w:tc>
          <w:tcPr>
            <w:shd w:val="clear" w:color="auto" w:fill="auto"/>
            <w:tcW w:w="246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24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242"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W w:w="383"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W w:w="3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终端杀毒</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iCs/>
                <w:color w:val="auto"/>
                <w:sz w:val="20"/>
                <w:szCs w:val="20"/>
                <w:highlight w:val="none"/>
                <w:u w:val="single"/>
                <w:lang w:val="en-US" w:eastAsia="zh-CN" w:bidi="ar"/>
              </w:rPr>
              <w:t xml:space="preserve">★火绒终端安全管理系统V2.0特征库升级。内外网合计：windows终端共1800点，1inux终端共50点。</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年</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r>
        <w:trPr>
          <w:trHeight w:val="270"/>
        </w:trPr>
        <w:tc>
          <w:tcPr>
            <w:shd w:val="clear" w:color="auto" w:fill="auto"/>
            <w:tcW w:w="36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内外网防毒墙</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★亚信AIS Edge EE E380特征库三年升级，组成双机热备部署内网。</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r>
        <w:trPr>
          <w:trHeight w:val="270"/>
        </w:trPr>
        <w:tc>
          <w:tcPr>
            <w:shd w:val="clear" w:color="auto" w:fill="auto"/>
            <w:tcW w:w="36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内外网IPS</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★迪普IPS2000-GC-XI特征库三年升级，组成双机热备部署内网。</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r>
        <w:trPr>
          <w:trHeight w:val="270"/>
        </w:trPr>
        <w:tc>
          <w:tcPr>
            <w:shd w:val="clear" w:color="auto" w:fill="auto"/>
            <w:tcW w:w="36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外网出口防火墙</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★深信服AF-2000-FH2250B云智订阅软件：URL、WAF、IPS、IOC等库的三年升级更新。</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r>
        <w:trPr>
          <w:trHeight w:val="1727"/>
        </w:trPr>
        <w:tc>
          <w:tcPr>
            <w:shd w:val="clear" w:color="auto" w:fill="auto"/>
            <w:tcW w:w="36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7*24小时安全托管服务</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eastAsia="宋体" w:cs="宋体"/>
                <w:i/>
                <w:iCs/>
                <w:color w:val="auto"/>
                <w:sz w:val="20"/>
                <w:szCs w:val="20"/>
                <w:highlight w:val="none"/>
                <w:u w:val="single"/>
                <w:lang w:val="en-US" w:eastAsia="zh-CN" w:bidi="ar"/>
              </w:rPr>
              <w:t xml:space="preserve">本次安全服务须包含：1年50个资产的7*24H的远程安全托管服务授权，支持接入现安全态势感知平台并实现联动。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投标方应使用安全工具对招标方服务资产开展互联网暴露面探测，以梳理资产面向互联网的开放情况，快速发现违规暴露在互联网中的资产及存在的风险并进行处置，实现对暴露面资产可管可控，降低暴露面资产的风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投标方所采用的托管服务平台应具备GPT服务工具，支持集成在服务微信群、服务工作台，该工具能力项应支持告警数据包研判、情报查询分析、Payload解码、事件研判定性、自动调用安全设备遏制（IP、域名封堵）、事件调查溯源、运营数据统计（支持在线统计、分析并下载数据）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能通过可视化的数据展示安全托管服务水平，至少包括高危可利用漏洞准确率和防护率、威胁闭环率和平均分析研判时效及平均遏制时效、事件闭环率和平均分析研判时效及平均闭环时效。云端服务平台应当具备不少于40种策略检查的工具，支持排查安全设备防护策略配置的合理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5.（1）从安全日志产生到事件通告给用户的时间方面，按照国家标准对安全事件的分类分级指南，重大安全事件通告时间小于30分钟，一般事件的通告时间少于1小时；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（2）事件闭环时间MTTR：经招标方授权后，投标方服务人员协助进行安全事件的闭环，一般安全事件的闭环完成时间少于8小时，重大事件的闭环完成时间少于24小时；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（3）安全事件经过服务人员的确认后，通告给用户的各类安全事件的准确率不低于99%（即误报不能超过1%）；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（4）投标方应当承诺，服务范围内的所有安全事件的闭环处置比例达到100%。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（5）投标方应当满足重大事故应启动应急响应机制，工作时间15分钟之内云端专家进行响应，非工作时间30分钟之内云端专家进行响应，省会2小时上门处置，省内8小时上门处置。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高危可利用漏洞防护：针对服务范围内资产扫描到的高危可利用漏洞，投标方应当为用户做好每一个高危可利用漏洞的防护工作，包括但不限于为用户提供漏洞修复方案和安全设备防护策略，以及帮助用户配置防护规则，保证用户不因此出现重大事件和损失；提供服务平台具备高危可利用漏洞防护规则的证明，并且支持对扫描到的高危可利用漏洞能够自动匹配漏洞防护规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7.交付物名称：《安全服务运营报告》，报告频率：每周一次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交付物名称：《首次威胁分析与处置报告》，报告频率：一次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交付物名称：《事件分析与处置报告》，报告频率：按需触发，不限次数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交付物名称：《安全通告》，报告频率：按需触发，不限次数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交付物名称：《综合分析报告》，报告频率：每月一次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交付物名称：《季度汇报PPT》，报告频率：每季度一次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交付物名称：《年度汇报PPT》，报告频率：每年一次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交付物名称：《网络安全应急演练报告》，报告频率：至少二次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交付物名称：《网络安全培训课件》，报告频率：至少二次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交付物名称：《安全管理制度汇总》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中标后招标方有权要求中标方严格按照上述频率要求提供服务交付物，确保满足招标方安全需求。</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年</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1</w:t>
            </w:r>
            <w:r/>
          </w:p>
        </w:tc>
        <w:tc>
          <w:tcPr>
            <w:shd w:val="clear" w:color="auto" w:fill="auto"/>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r>
        <w:trPr>
          <w:trHeight w:val="580"/>
        </w:trPr>
        <w:tc>
          <w:tcPr>
            <w:shd w:val="clear" w:color="auto" w:fill="auto"/>
            <w:tcW w:w="36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态势感知平台设备</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★现网态势感知平台设备增加2个万兆光口接口板，并配置4个万兆多模光模块。提供现网态势感知平台设备的病毒库三年升级服务。</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r>
        <w:trPr>
          <w:trHeight w:val="480"/>
        </w:trPr>
        <w:tc>
          <w:tcPr>
            <w:shd w:val="clear" w:color="auto" w:fill="auto"/>
            <w:tcW w:w="369"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W w:w="1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流量采集设备（探针）</w:t>
            </w:r>
            <w:r/>
          </w:p>
        </w:tc>
        <w:tc>
          <w:tcPr>
            <w:shd w:val="clear" w:color="auto" w:fill="auto"/>
            <w:tcW w:w="4192" w:type="dxa"/>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★提供2台现网流量采集设备的三年特征库升级服务。</w:t>
            </w:r>
            <w:r/>
          </w:p>
        </w:tc>
        <w:tc>
          <w:tcPr>
            <w:shd w:val="clear" w:color="auto" w:fill="auto"/>
            <w:tcW w:w="2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24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38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利旧</w:t>
            </w:r>
            <w:r/>
          </w:p>
        </w:tc>
      </w:tr>
    </w:tbl>
    <w:p>
      <w:pPr>
        <w:pStyle w:val="915"/>
        <w:numPr>
          <w:ilvl w:val="0"/>
          <w:numId w:val="0"/>
        </w:numPr>
        <w:rPr>
          <w:rFonts w:hint="default"/>
          <w:color w:val="auto"/>
          <w:highlight w:val="none"/>
          <w:lang w:val="en-US" w:eastAsia="zh-CN"/>
        </w:rPr>
      </w:pPr>
      <w:r>
        <w:rPr>
          <w:rFonts w:hint="default"/>
          <w:color w:val="auto"/>
          <w:highlight w:val="none"/>
          <w:lang w:val="en-US" w:eastAsia="zh-CN"/>
        </w:rPr>
      </w:r>
      <w:r/>
    </w:p>
    <w:p>
      <w:pPr>
        <w:numPr>
          <w:ilvl w:val="0"/>
          <w:numId w:val="10"/>
        </w:numPr>
        <w:ind w:left="0" w:firstLine="0"/>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大数据机房建设</w:t>
      </w:r>
      <w:r/>
    </w:p>
    <w:tbl>
      <w:tblPr>
        <w:tblStyle w:val="9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5"/>
        <w:gridCol w:w="1811"/>
        <w:gridCol w:w="4280"/>
        <w:gridCol w:w="457"/>
        <w:gridCol w:w="2"/>
        <w:gridCol w:w="505"/>
        <w:gridCol w:w="752"/>
      </w:tblGrid>
      <w:tr>
        <w:trPr>
          <w:trHeight w:val="37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大数据机房建设</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cs="宋体"/>
                <w:b/>
                <w:bCs/>
                <w:i w:val="0"/>
                <w:iCs w:val="0"/>
                <w:color w:val="auto"/>
                <w:sz w:val="20"/>
                <w:szCs w:val="20"/>
                <w:highlight w:val="none"/>
                <w:u w:val="none"/>
                <w:lang w:val="en-US" w:eastAsia="zh-CN" w:bidi="ar"/>
              </w:rPr>
              <w:t xml:space="preserve">一、</w:t>
            </w:r>
            <w:r>
              <w:rPr>
                <w:rFonts w:hint="eastAsia" w:ascii="宋体" w:hAnsi="宋体" w:eastAsia="宋体" w:cs="宋体"/>
                <w:b/>
                <w:bCs/>
                <w:i w:val="0"/>
                <w:iCs w:val="0"/>
                <w:color w:val="auto"/>
                <w:sz w:val="20"/>
                <w:szCs w:val="20"/>
                <w:highlight w:val="none"/>
                <w:u w:val="none"/>
                <w:lang w:val="en-US" w:eastAsia="zh-CN" w:bidi="ar"/>
              </w:rPr>
              <w:t xml:space="preserve">机房设备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微模块机柜及密闭通道</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机柜采用标准的19英寸机柜，尺寸（宽*深*高）为600*1200*2000mm，支持19英寸标准的服务器、存储及网络设备安装。机柜内含：束线圈*6，1U盲板*20，1U水平理线架*2，轻载滑道*2，1U固定托盘*1。要求静态承载能力不小于2400kg。机柜门板、侧板平整，无扭曲、无变形，门板开孔均匀；前后门外开，前门单开，后门双开。机柜前后门应采用不小于1.2mm厚度的优质板材加工，六角网孔设计，网孔门通孔率需不小于75%。满足带载590kg测试通过8、9级烈度结构抗地震考核要求。</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微模块内配置</w:t>
            </w:r>
            <w:r/>
          </w:p>
        </w:tc>
      </w:tr>
      <w:tr>
        <w:trPr>
          <w:trHeight w:val="588"/>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网络布线柜</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auto"/>
                <w:sz w:val="20"/>
                <w:szCs w:val="20"/>
                <w:highlight w:val="none"/>
                <w:u w:val="single"/>
                <w:lang w:val="en-US" w:eastAsia="zh-CN" w:bidi="ar"/>
              </w:rPr>
              <w:t xml:space="preserve">★机柜采用标准的19英寸机柜，尺寸（宽*深*高）为600*1200*2000mm，支持19英寸标准的服务器、存储及网络设备安装。机柜内含：束线圈*6，1U盲板*20，1U水平理线架*2，轻载滑道*2，1U固定托盘*1。要求静态承载能力不小于2400kg。机柜门板、侧板平整，无扭曲、无变形，门板开孔均匀；前后门外开，前门单开，后门双开。机柜前后门应采用不小于1.2mm厚度的优质板材加工，六角网孔设计，网孔门通孔率需不小于75%。满足带载590kg测试通过8、9级烈度结构抗地震考核要求。</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微模块内5台，通信接入间4台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机柜侧板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机柜侧门板-用于1200mm深,2000mm高落地机柜前后密封</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PDU1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输入单相32A，输出含4位GB16A,20位GB10A；3m导线。</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其他按5KW</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PDU2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输入三相32A，输出含12位GB10A+9位16A;3m导线。</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2台柜按15KW</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密闭冷通道组件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1、密封通道由天窗、端门、机柜、精密配电柜或UPS柜、行级空调连接组合而成，通道顶盖应采用平顶结构，按照机柜布置对应天窗；通道宽度≥1200mm，通道长度为单排柜体宽度之和。通道</w:t>
            </w:r>
            <w:r>
              <w:rPr>
                <w:rFonts w:hint="eastAsia" w:ascii="宋体" w:hAnsi="宋体" w:eastAsia="宋体" w:cs="宋体"/>
                <w:i w:val="0"/>
                <w:iCs w:val="0"/>
                <w:color w:val="auto"/>
                <w:sz w:val="20"/>
                <w:szCs w:val="20"/>
                <w:highlight w:val="none"/>
                <w:u w:val="none"/>
                <w:lang w:val="en-US" w:eastAsia="zh-CN" w:bidi="ar"/>
              </w:rPr>
              <w:t xml:space="preserve">上部天窗应设计三种类型，翻转型天窗、固定型天窗、功能型天窗，功能型天窗内应预留烟感、温湿度传感器、监控摄像头等设备安装孔位，便于现场实施。固定型天窗和翻转型天窗透光材质应使用覆膜钢化玻璃或有机玻璃，厚度≥5mm，天窗玻璃面积占比应保证≥90%，玻璃材质透光率应≥90%。翻转天窗采用全钢化玻璃天窗，并标配防爆膜。密封通道翻转天窗应能支持自动或手动开启，可与消防系统进行联动，当发生火灾时电磁锁打开，翻转天窗在重力作用下自动打开，天窗开启后冷通道的净高≥2米。同时发出声光报警信号，并将告警信号上传至机房管理系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2、密封冷通道的两端应设置自动平移端门，门禁识别通过后可自动开启。通道门框架结构应采用高强度A级优质碳</w:t>
            </w:r>
            <w:r>
              <w:rPr>
                <w:rFonts w:hint="eastAsia" w:ascii="宋体" w:hAnsi="宋体" w:eastAsia="宋体" w:cs="宋体"/>
                <w:i w:val="0"/>
                <w:iCs w:val="0"/>
                <w:color w:val="auto"/>
                <w:sz w:val="20"/>
                <w:szCs w:val="20"/>
                <w:highlight w:val="none"/>
                <w:u w:val="none"/>
                <w:lang w:val="en-US" w:eastAsia="zh-CN" w:bidi="ar"/>
              </w:rPr>
              <w:t xml:space="preserve">素冷轧型材，其型材厚度应不小于1.5mm，保证门框结构的整体强度。门板应采用整块钢化玻璃材质，其钢化玻璃厚度应不小于8mm，以保证门板强度；端门接缝、门缝处应配置胶条、毛刷等装置，尽量减少端门缝隙，用以保证气密性。密封通道端门两侧地面（地板）上应保证通过性优异，不应有地轨、门槛等。通道端门侧应预留开门按钮、刷卡器、通道照明开关、紧急按钮、通道灯带等的安装接口，方便安装通道级门禁和照明使用。通道内部应设置紧急按钮，在干接点开门信号失效的极端情况下，通过物理掉电方式开启端门电磁锁，以保证通道内部人员的逃生顺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eastAsia="宋体" w:cs="宋体"/>
                <w:i/>
                <w:iCs/>
                <w:color w:val="auto"/>
                <w:sz w:val="20"/>
                <w:szCs w:val="20"/>
                <w:highlight w:val="none"/>
                <w:u w:val="single"/>
                <w:lang w:val="en-US" w:eastAsia="zh-CN" w:bidi="ar"/>
              </w:rPr>
              <w:t xml:space="preserve">★微模块端门应根据模块运行状态提供明确的灯光指示，并与模块监控系统联动，可根据不同的告警等级设置不同颜色的灯光告警指示，告警等级及指示灯光颜色应＞3种。</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区域冷通道封闭系统；含26个柜位；1200mm通道；含天窗、天窗控制器、自动平移门、线槽、围板、LED灯、照明系统等</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UPS系统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UPS主机1</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numPr>
                <w:ilvl w:val="0"/>
                <w:numId w:val="17"/>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iCs/>
                <w:color w:val="auto"/>
                <w:sz w:val="20"/>
                <w:szCs w:val="20"/>
                <w:highlight w:val="none"/>
                <w:u w:val="single"/>
                <w:lang w:val="en-US" w:eastAsia="zh-CN" w:bidi="ar"/>
              </w:rPr>
              <w:t xml:space="preserve">模块化在线双变换式三进三出UPS，总容量不小于200KVA，单模块容量不小于50KVA。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 </w:t>
            </w:r>
            <w:r>
              <w:rPr>
                <w:rFonts w:hint="eastAsia" w:ascii="宋体" w:hAnsi="宋体" w:eastAsia="宋体" w:cs="宋体"/>
                <w:i w:val="0"/>
                <w:iCs w:val="0"/>
                <w:color w:val="000000"/>
                <w:sz w:val="20"/>
                <w:szCs w:val="20"/>
                <w:u w:val="none"/>
                <w:lang w:val="en-US" w:eastAsia="zh-CN" w:bidi="ar"/>
              </w:rPr>
              <w:t xml:space="preserve">为提高宽范围电压适应性，要求UPS输入线电压范围304～484Vac，输入频率范围：40-70Hz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UPS应具有较强的带载能力，要求UPS的输入功率因数&gt;0.99，输出功率因数为1；UPS在线性负载时输出电压波形失真度＜1%，非线性负载输出电压波形失真度＜1.5%；UPS支持电池节数可调。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 </w:t>
            </w:r>
            <w:r>
              <w:rPr>
                <w:rFonts w:hint="eastAsia" w:ascii="宋体" w:hAnsi="宋体" w:eastAsia="宋体" w:cs="宋体"/>
                <w:i w:val="0"/>
                <w:iCs w:val="0"/>
                <w:color w:val="000000"/>
                <w:sz w:val="20"/>
                <w:szCs w:val="20"/>
                <w:u w:val="none"/>
                <w:lang w:val="en-US" w:eastAsia="zh-CN" w:bidi="ar"/>
              </w:rPr>
              <w:t xml:space="preserve">UPS功率模块、旁路模块及控制模块均支持在线热插拔。逆变输出过载能力:要求逆变输出具有较强的过载能力，优于且不低于下述标准：110%负载时，60min后转旁路,125%负载时，10min后转旁路,150%负载时，1min后转旁路。</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 UPS整机特性及要求:要求效率可达96%,要求支持ECO模式，在ECO模式下UPS效率可达99%。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 UPS具有故障预警功能，电池、电容以及风扇等关键部件失效预警，防止故障扩大。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6.同系列模块化UPS按照标准YD5083-2005《电信设备抗震性能检测规范》要求，连续通过8级烈度结构抗震考核。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UPS风扇采用容错设计，单个风扇故障仍可带载50%，两个风扇故障可带载30%，UPS系统应具有并机系统共用电池组功能。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IT机柜用</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UPS主机2</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rPr>
                <w:rFonts w:hint="eastAsia" w:ascii="宋体" w:hAnsi="宋体" w:eastAsia="宋体" w:cs="宋体"/>
                <w:i/>
                <w:iCs/>
                <w:color w:val="auto"/>
                <w:sz w:val="20"/>
                <w:szCs w:val="20"/>
                <w:highlight w:val="none"/>
                <w:u w:val="single"/>
                <w:lang w:val="en-US" w:eastAsia="zh-CN" w:bidi="ar"/>
              </w:rPr>
              <w:t xml:space="preserve">模块化在线双变换式三进三出UPS，总容量不小于200KVA，单模块容量不小于50KVA。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为提高宽范围电压适应性，要求UPS输入线电压范围304～484Vac，输入频率范围：40-70Hz</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UPS应具有较强的带载能力，要求UPS的输入功率因数&gt;0.99，输出功率因数为1；UPS在线性负载时输出电压波形失真度＜1%，非线性负载输出电压波形失真度＜1.5%；UPS支持电池节数可调。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UPS功率模块、旁路模块及控制模块均支持在线热插拔。逆变输出过载能力:要求逆变输出具有较强的过载能力，优于且不低于下述标准：110%负载时，60min后转旁路,125%负载时，10min后转旁路,150%负载时，1min后转旁路。</w:t>
            </w:r>
            <w:r/>
          </w:p>
          <w:p>
            <w:pPr>
              <w:numPr>
                <w:ilvl w:val="0"/>
                <w:numId w:val="0"/>
              </w:numPr>
              <w:ind w:left="0" w:firstLine="0"/>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4.UPS整机特性及要求:要求效率可达96%,要求支持ECO模式，在ECO模式下UPS效率可达99%。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5.UPS具有故障预警功能，电池、电容以及风扇等关键部件失效预警，防止故障扩大。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6.同系列模块化UPS按照标准YD5083-2005《电信设备抗震性能检测规范》要求，连续通过8级烈度结构抗震考核。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7.UPS风扇采用容错设计，单个风扇故障仍可带载50%，两个风扇故障可带载30%，UPS系统应具有并机系统共用电池组功能。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功率模块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功能模块≥50kVA功率模块</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Style w:val="933"/>
                <w:lang w:val="en-US" w:eastAsia="zh-CN" w:bidi="ar"/>
              </w:rPr>
              <w:suppressLineNumbers w:val="0"/>
            </w:pPr>
            <w:r>
              <w:rPr>
                <w:rStyle w:val="933"/>
                <w:lang w:val="en-US" w:eastAsia="zh-CN" w:bidi="ar"/>
              </w:rPr>
              <w:t xml:space="preserve">1.12V200AH阀控式密封免维护蓄电池，即寿命期内无需加酸加水。   </w:t>
            </w:r>
            <w:r>
              <w:rPr>
                <w:rStyle w:val="933"/>
                <w:lang w:val="en-US" w:eastAsia="zh-CN" w:bidi="ar"/>
              </w:rPr>
              <w:br/>
            </w:r>
            <w:r>
              <w:rPr>
                <w:rStyle w:val="933"/>
                <w:lang w:val="en-US" w:eastAsia="zh-CN" w:bidi="ar"/>
              </w:rPr>
              <w:t xml:space="preserve">2</w:t>
            </w:r>
            <w:r>
              <w:rPr>
                <w:rStyle w:val="933"/>
                <w:rFonts w:hint="eastAsia"/>
                <w:lang w:val="en-US" w:eastAsia="zh-CN" w:bidi="ar"/>
              </w:rPr>
              <w:t xml:space="preserve">.</w:t>
            </w:r>
            <w:r>
              <w:rPr>
                <w:rStyle w:val="933"/>
                <w:lang w:val="en-US" w:eastAsia="zh-CN" w:bidi="ar"/>
              </w:rPr>
              <w:t xml:space="preserve">正常工作条件：设备应在下述条件下连续工作</w:t>
            </w:r>
            <w:r>
              <w:rPr>
                <w:rStyle w:val="933"/>
                <w:rFonts w:hint="eastAsia"/>
                <w:lang w:val="en-US" w:eastAsia="zh-CN" w:bidi="ar"/>
              </w:rPr>
              <w:t xml:space="preserve"> </w:t>
            </w:r>
            <w:r>
              <w:rPr>
                <w:rStyle w:val="933"/>
                <w:lang w:val="en-US" w:eastAsia="zh-CN" w:bidi="ar"/>
              </w:rPr>
              <w:t xml:space="preserve">工作温度：-20～+45℃；相对湿度：≤90％（25℃）；电池寿命：30℃环境下，浮充运行的寿命≥8年</w:t>
            </w:r>
            <w:r>
              <w:rPr>
                <w:rStyle w:val="935"/>
                <w:rFonts w:eastAsia="宋体"/>
                <w:lang w:val="en-US" w:eastAsia="zh-CN" w:bidi="ar"/>
              </w:rPr>
              <w:t xml:space="preserve"> </w:t>
            </w:r>
            <w:r>
              <w:rPr>
                <w:rStyle w:val="933"/>
                <w:lang w:val="en-US" w:eastAsia="zh-CN" w:bidi="ar"/>
              </w:rPr>
              <w:t xml:space="preserve">25℃环境下，浮充运行的寿命≥12年。</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rFonts w:hint="eastAsia"/>
                <w:lang w:val="en-US" w:eastAsia="zh-CN" w:bidi="ar"/>
              </w:rPr>
              <w:t xml:space="preserve">3.</w:t>
            </w:r>
            <w:r>
              <w:rPr>
                <w:rStyle w:val="933"/>
                <w:lang w:val="en-US" w:eastAsia="zh-CN" w:bidi="ar"/>
              </w:rPr>
              <w:t xml:space="preserve">密封反应效率应≥98%；安全阀要求：应具有自动开启和自动关闭的功能，开阀压力和闭阀压力应满足以下要求：（1)开阀压力：1-49。耐过充能力:完全充电后的电池以0.3I10连续充电160h,外观应无明显变形及渗液。电压均衡性：开路：最高与最低差应≤ 100mV。浮充：进入浮充状态24h后端电压差≤ 480mV。放电：端电压差≤0.6V。电池间连接电压降：5.5I10放电条件下，△U应≤10mV。防爆性能：充电过程中遇明火，内部应不引燃及引爆。</w:t>
            </w:r>
            <w:r>
              <w:rPr>
                <w:rStyle w:val="933"/>
                <w:lang w:val="en-US" w:eastAsia="zh-CN" w:bidi="ar"/>
              </w:rPr>
              <w:br/>
            </w:r>
            <w:r>
              <w:rPr>
                <w:rStyle w:val="933"/>
                <w:lang w:val="en-US" w:eastAsia="zh-CN" w:bidi="ar"/>
              </w:rPr>
              <w:t xml:space="preserve">封口剂性能：环境温度-30℃-+65℃之间，封口剂应无裂纹与溢流现象。热失控敏感性：在（25±5）℃环境中，以（2.45±0.1）V/单体的恒定电压（不限流）25、连续充电168h。</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电池架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定制，4层开放式钢制电池架；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含配套连接铜排及跨层线缆</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电池开关柜</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定制汇流箱，内置DC630A/3P电池断路器为国产优质产品。</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空调制冷系统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35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风冷行级精密空调</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iCs/>
                <w:color w:val="000000"/>
                <w:sz w:val="20"/>
                <w:szCs w:val="20"/>
                <w:u w:val="single"/>
                <w:lang w:val="en-US" w:eastAsia="zh-CN" w:bidi="ar"/>
              </w:rPr>
              <w:t xml:space="preserve">★总冷量≥45KW，显冷量≥45kW，水平送风，风量≥9000 m3/h，尺寸600（W）*1200(D)*2000（H）mm，精密空调厂家具备自主研发能力。</w:t>
            </w:r>
            <w:r>
              <w:rPr>
                <w:rFonts w:hint="eastAsia" w:ascii="宋体" w:hAnsi="宋体" w:eastAsia="宋体" w:cs="宋体"/>
                <w:i/>
                <w:iCs/>
                <w:color w:val="auto"/>
                <w:sz w:val="20"/>
                <w:szCs w:val="20"/>
                <w:highlight w:val="none"/>
                <w:u w:val="single"/>
                <w:lang w:val="en-US" w:eastAsia="zh-CN" w:bidi="ar"/>
              </w:rPr>
              <w:t xml:space="preserve">加热量≥6kW。加湿应采用高效的湿膜加湿，加湿量≥3kg/h。含5年质保服务。</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val="0"/>
                <w:iCs w:val="0"/>
                <w:color w:val="000000"/>
                <w:sz w:val="20"/>
                <w:szCs w:val="20"/>
                <w:u w:val="none"/>
                <w:lang w:val="en-US" w:eastAsia="zh-CN" w:bidi="ar"/>
              </w:rPr>
              <w:t xml:space="preserve">2.空调采用高效直流变频压缩机与EC风机，室内风机支持在线插拔式维护，室内风机更换不需停机。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3.制冷量可在10%-100%无极调节。蒸发器采用高效内螺纹铜管和蓝色亲水铝箔设计，过滤网组件采用不低于G4等级过滤网。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膨胀阀应采用电子膨胀阀,膨胀阀驱动自带储能单元，异常断电可以正常关闭，防止冷媒异常迁移。应设置≥7英寸真彩触摸屏，可实时显示冷量、风量等关键参数信息，易于操作和运维</w:t>
            </w:r>
            <w:r>
              <w:rPr>
                <w:rFonts w:hint="eastAsia" w:ascii="宋体" w:hAnsi="宋体" w:eastAsia="宋体" w:cs="宋体"/>
                <w:i w:val="0"/>
                <w:iCs w:val="0"/>
                <w:color w:val="000000"/>
                <w:sz w:val="20"/>
                <w:szCs w:val="20"/>
                <w:u w:val="none"/>
                <w:lang w:val="en-US" w:eastAsia="zh-CN" w:bidi="ar"/>
              </w:rPr>
              <w:t xml:space="preserve">管理。 具备访问日志回溯功能，可显示用户登陆及设置修改历史，存储历史记录信息可达200条，存储历史告警信息≥500条。具备联动与群控功能，同一区域可将≥30套机组进行统一控制管理。. 为保证机房绿色节能，降低机房PUE，行级空调应采用先进可靠的技术手段（内外机联动、多台空调智能群控等）实现制冷系统能耗降低。机组主控单元采用模块化方式设计，主控模块可直接进行插拔式维护，主控单元更换时机组不需下电。 监控性能：应具有RS485/FE通讯接口，对系统进行远程巡检和参数的设置，及提供Modbus/SNMP开放协议。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5.可以实现在≤10%显热制冷量（即显热制冷量≤4500W）且室内高湿度情况下稳定除湿功能，降低高湿环境下数据中心低载运行的设备结露风险。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6.机组应标配防雷器，要求室内外机防浪涌电压值≥6kV，安全可靠。</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节能产品政府采购品目清单</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行级精密空调室外机</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iCs/>
                <w:color w:val="000000"/>
                <w:sz w:val="20"/>
                <w:szCs w:val="20"/>
                <w:highlight w:val="none"/>
                <w:u w:val="single"/>
                <w:lang w:val="en-US" w:eastAsia="zh-CN" w:bidi="ar"/>
              </w:rPr>
              <w:t xml:space="preserve">★高效EC风机，实现大风量、低噪声、高效率的优越性能。底部要配悬空支架，顶部加防尘网罩。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2、驱动器采用变频驱动器，低载运行更稳定。采用镀锌板和表面磷化＋粉末涂层工艺，具有良好的刚性和防腐性能，适应恶劣环境。冷凝器出厂已保压，管路端口已妥善密封，防止异物进入。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3、低温氟泵，支持室外-40℃～20℃运行。</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i w:val="0"/>
                <w:iCs w:val="0"/>
                <w:color w:val="auto"/>
                <w:sz w:val="20"/>
                <w:szCs w:val="20"/>
                <w:highlight w:val="none"/>
                <w:u w:val="none"/>
                <w:lang w:val="en-US" w:eastAsia="zh-CN" w:bidi="ar"/>
              </w:rPr>
              <w:t xml:space="preserve">节能产品政府采购品目清单</w:t>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房间精密空调</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iCs/>
                <w:color w:val="000000"/>
                <w:sz w:val="20"/>
                <w:szCs w:val="20"/>
                <w:highlight w:val="none"/>
                <w:u w:val="single"/>
                <w:lang w:val="en-US" w:eastAsia="zh-CN" w:bidi="ar"/>
              </w:rPr>
              <w:t xml:space="preserve">★空调类型：风冷房间级精密空调，上送风，总冷量≥12.5kW，显冷量≥11.5kW,风量≥3000m3/h，制冷量额定工况：24ºC回风温度，50%相对湿度，室外温度35ºC。含5年质保服务。</w:t>
            </w:r>
            <w:r>
              <w:rPr>
                <w:rFonts w:hint="eastAsia" w:ascii="宋体" w:hAnsi="宋体" w:eastAsia="宋体" w:cs="宋体"/>
                <w:i/>
                <w:iCs/>
                <w:color w:val="000000"/>
                <w:sz w:val="20"/>
                <w:szCs w:val="20"/>
                <w:highlight w:val="none"/>
                <w:u w:val="singl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2、精密空调应能按要求自动调节室内温度,温度调节精度±1℃、温度变化率&lt; 5℃/小时，湿度调节范围20% ~ 80%RH，湿度调节精度±5%RH，温、湿度波动超限应能发出报警信号。采用直流变频压缩机、EC风机，冷量可在35%-100%无极调节，按需输出冷量。空调机组应具有送回风温度过高、过低报警、风扇故障报警、温湿度传感器故障报警等功能。精密空调机组应具有方便的现场监控及远程监控能力，应具有RS485接口，对系统进行远程巡检和参数的设置，及提供Modbus协议，以接入机房环境监控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3、机组应具备不低于6kV防雷滤波规格，在极端浪涌条件下更加安全可靠。</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节能产品政府采购品目清单</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吊顶式温度预处理型正压洁净新风机组</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风量：≥2500m3/h；压缩机5P*1；制冷量≥13.5kw；制热量14.2kw，余压150pa；室内机噪音≤56db（a）；粗效、中效、亚高效三级过滤；智能液晶控制器；额定输入功率5.5kw,用电380v-50hz-3</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配电系统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eastAsia" w:ascii="Arial" w:hAnsi="Arial" w:eastAsia="宋体" w:cs="Arial"/>
                <w:i w:val="0"/>
                <w:iCs w:val="0"/>
                <w:color w:val="auto"/>
                <w:sz w:val="20"/>
                <w:szCs w:val="20"/>
                <w:highlight w:val="none"/>
                <w:u w:val="none"/>
              </w:rPr>
            </w:pPr>
            <w:r>
              <w:rPr>
                <w:rFonts w:hint="eastAsia" w:ascii="Arial" w:hAnsi="Arial" w:eastAsia="宋体" w:cs="Arial"/>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微模块配电列头柜</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numPr>
                <w:ilvl w:val="0"/>
                <w:numId w:val="18"/>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基础规格：600mm(W)*1200mm(D)*2000mm(H)；单柜支持双路250A/3P输入，不少于40路40A/1P输出和32A/3P*4；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告警功能：支持输入开关断开告警、故障脱扣告警；监控功能：需提供对精密配电柜主路、支路等多回路进行监控的智能监控板。监控板需能够实现界面可视化，采用不小于7寸液晶彩色触摸屏展示系统模拟图，系统模拟图可显示各开关和防雷器的实时状态，可显示所有主回路及支回路的电量信息。智能监控板应支持MODBUS或SNMP协议，支持被第三方网管集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监控模块可插拔设计，不断电快速维护。输出开关可插拔设计。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3、抗震要求：精密配电柜通过不小于8级烈度抗震测试。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4、认证要求：提供精密配电柜的CCC自我声明。</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空调输入输出柜（市电）-200KVA</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定制，200KVA容量，400A/3P*1路塑壳断路器，63A/3P*12路微型断路器，100A/3P *3路微型断路器，国产柜体，配电箱中所使用的断路器为国产优质产品。</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空调等使用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UPS输入输出柜-200KVA-IT</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定制，200KVA容量，400A/3P*2路塑壳断路器，250A/3P*2路塑壳断路器,32A/3P*6路微型断路器；国产柜体，配电箱中所使用的断路器为国产优质产品。</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IT机柜使用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UPS输入输出柜-200KVA-空调</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定制，200KVA容量，400A/3P*2路塑壳断路器，100A/3P *3路微型断路器，63A/3P*9路微型断路器，32A/3P*9路微型断路器；国产柜体，配电箱中所使用的断路器为国产优质产品。</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空调使用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房间级空调配电箱</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定制，100A/3P ATS *1，32A/3P*4路微型断路器，国产柜体，配电箱中所使用的断路器为国产优质产品。</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房间级空调末端使用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KVM系统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KVM设备</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2数字用户，1本地用户，32服务器端口，双电源，双网口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服务器接口模块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被管理设备接口转换器，支持PS2，USB，支持虚拟媒体功能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LCD控制台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机架式LCD控制台，不低于17寸</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安防系统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视频监控系统前端设备</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400万红外半球型摄像机16套及球机4套</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视频存储磁盘阵列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iCs/>
                <w:color w:val="auto"/>
                <w:sz w:val="20"/>
                <w:szCs w:val="20"/>
                <w:highlight w:val="none"/>
                <w:u w:val="single"/>
              </w:rPr>
              <w:suppressLineNumbers w:val="0"/>
            </w:pP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24盘位，含14块8T企业级SATA硬盘</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入侵报警系统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红外微波双鉴探测器及报警主机等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含2套双开门及3套单开门系统</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动环及设施管理系统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微模块动环监控组件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微模块监控采集器</w:t>
            </w:r>
            <w:r/>
          </w:p>
        </w:tc>
        <w:tc>
          <w:tcPr>
            <w:shd w:val="clear" w:color="auto" w:fill="auto"/>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000000"/>
                <w:sz w:val="20"/>
                <w:szCs w:val="20"/>
                <w:u w:val="none"/>
                <w:lang w:val="en-US" w:eastAsia="zh-CN" w:bidi="ar"/>
              </w:rPr>
              <w:t xml:space="preserve">1、数据采集器必须采用嵌入式一体化集中监控主机，自带linux系统；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2、采集器配置不低于：ARM Cortex A7 32位处理器，512MB ROM，64MB+1GB Flash存储；支持双路供电。RS485接口、AI/DI接口需可支持DC12V电源输出，可为智能温湿度传感器、水浸传感器等监控部件供电数据采集器支持2路WAN接口，2路LAN接口，100Mbps通讯速率。接口需统一采用RJ45端子，简化线缆种类，简化交付难度；所有板卡、传感器需支持热插拔，即插即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3、需支持web服务，可通过浏览器直接访问实现远程管理；支持LCD显示屏交互界面，可实时显示监控设备的运行参数；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4、为保证系统通讯和供电的可靠性，管理系统通信总线具备容错能力，单点故障应不影响其他设备；管理系统电源总线应具有热备份，具备支持热插拔，在线更换功能。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5、▲动环管理系统满足网络安全的要求，通过智能联网产品网络安全认证。提供第三方权威机构出具的产品安全认证证书，复印件加盖投标人公章。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大屏及软件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numPr>
                <w:ilvl w:val="0"/>
                <w:numId w:val="19"/>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显示屏支持有线/无线接入数据机房管理系统，通过APP可对数据机房设备和环境参数进行实时监测。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2、不小于40英寸本地显示大屏，分辨率不低于1920×1080，支持多点触控。大屏内存参数不低于：存储32GB内存、机身4GB。</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环境标志产品政府采购品目清单、节能产品政府采购品目清单</w:t>
            </w:r>
            <w:r/>
          </w:p>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天窗磁力锁</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天窗磁力锁-12VDC供电-8kg</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通道内照明系统-LED灯</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LED灯-220～240V-单相-50Hz</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通道门禁系统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额定工作电压：12V DC±15%、额定工作电流：300mA±15%、支持卡类型：IC卡、最大授权用户3000个，最大指纹容量6000枚、RS485通信接口、韦根通信接口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bidi="ar"/>
              </w:rPr>
              <w:t xml:space="preserve">指纹/密码/刷卡门禁系统、出门按钮等</w:t>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多功能传感器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集成温度、湿度、烟感和红外于一体的多参数监测传感器。温度监测–40℃～70℃，精度≤±0.5℃（25℃）。湿度监测0～100%RH，精度≤±5%RH（25℃，20%RH～80%RH）。烟雾监测符合Ul217号标准，测试值每英尺3.2%微弱灰，烟雾传感器可报警。提供1路POE接口，支持IEEE802.3at标准。支持无线通信、有按键测试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92"/>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水浸传感器用于监测机房内是否有漏水情况，并可以发出告警。由水浸检测绳、漏水报警探测器和转接线缆三部分组成，配水浸检测绳。</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非定位式漏水传感器检测绳</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传感器-非定位式漏水传感器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7.1.9</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温湿度传感器-用于检测空调回风温度</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7.1.10</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蜂鸣器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蜂鸣器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微模块供电模块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用于微模块内，通过门禁系统、上位机指令或红外联动信息（默认禁止）或照明按钮控制微模块内照明，并提供PAD充电接口；通过消防告警的联动信息或上位机的控制信息，控制通道的翻转天窗；通过检测读卡器刷卡信息、开门按钮信息以及消防联动信息，执行打开电磁锁；具备门禁权限管理、进出门事件记录、告警记录等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default" w:ascii="宋体" w:hAnsi="宋体" w:eastAsia="宋体" w:cs="宋体"/>
                <w:i w:val="0"/>
                <w:iCs w:val="0"/>
                <w:color w:val="ff0000"/>
                <w:sz w:val="20"/>
                <w:szCs w:val="20"/>
                <w:highlight w:val="none"/>
                <w:u w:val="none"/>
                <w:lang w:val="en-US" w:eastAsia="zh-CN"/>
              </w:rPr>
            </w:pPr>
            <w:r>
              <w:rPr>
                <w:rFonts w:hint="default" w:ascii="宋体" w:hAnsi="宋体" w:eastAsia="宋体" w:cs="宋体"/>
                <w:i w:val="0"/>
                <w:iCs w:val="0"/>
                <w:color w:val="ff0000"/>
                <w:sz w:val="20"/>
                <w:szCs w:val="20"/>
                <w:highlight w:val="none"/>
                <w:u w:val="none"/>
                <w:lang w:val="en-US" w:eastAsia="zh-CN"/>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模块内部信号线缆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模块内部信号线缆</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numPr>
                <w:ilvl w:val="0"/>
                <w:numId w:val="20"/>
              </w:numPr>
              <w:jc w:val="left"/>
              <w:rPr>
                <w:rFonts w:hint="eastAsia" w:ascii="宋体" w:hAnsi="宋体" w:eastAsia="宋体" w:cs="宋体"/>
                <w:i w:val="0"/>
                <w:iCs w:val="0"/>
                <w:color w:val="000000"/>
                <w:sz w:val="20"/>
                <w:szCs w:val="20"/>
                <w:u w:val="none"/>
                <w:lang w:val="en-US" w:eastAsia="zh-CN" w:bidi="ar"/>
              </w:rPr>
            </w:pPr>
            <w:r>
              <w:rPr>
                <w:rFonts w:hint="eastAsia" w:ascii="宋体" w:hAnsi="宋体" w:eastAsia="宋体" w:cs="宋体"/>
                <w:i w:val="0"/>
                <w:iCs w:val="0"/>
                <w:color w:val="000000"/>
                <w:sz w:val="20"/>
                <w:szCs w:val="20"/>
                <w:u w:val="none"/>
                <w:lang w:val="en-US" w:eastAsia="zh-CN" w:bidi="ar"/>
              </w:rPr>
              <w:t xml:space="preserve">一个统一的管理平台，实现对多个数据中心基础设施的集中管理，包括对UPS、精密配电柜、精密空调、通道天窗、微模块内部传感器、视频等系统统一监控管理。为保证良好的兼容性，管理系统需与数据中心关键基础设施、精密空调、机柜等为同一厂。</w:t>
            </w:r>
            <w:r/>
          </w:p>
          <w:p>
            <w:pPr>
              <w:numPr>
                <w:ilvl w:val="0"/>
                <w:numId w:val="0"/>
              </w:numPr>
              <w:ind w:left="0" w:firstLine="0"/>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iCs/>
                <w:color w:val="000000"/>
                <w:sz w:val="20"/>
                <w:szCs w:val="20"/>
                <w:highlight w:val="none"/>
                <w:u w:val="single"/>
                <w:lang w:val="en-US" w:eastAsia="zh-CN" w:bidi="ar"/>
              </w:rPr>
              <w:t xml:space="preserve">★服务器配置不低于：CPU不低于32Core@2.6GHz；内存不低于2*64G;硬盘不低于1*1.92T；</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w:t>
            </w:r>
            <w:r/>
          </w:p>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管理软件平台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B/S或C/S浏览功能；三层架构、能实现对UPS、配电柜、电表、精密空调、温湿度、漏水、烟雾等机房的设备状态、环境及安全情况进行监控；100智能节点接入和100柜智能运营license，包含资产管理、容量管理、租户管理等功能。 提供人员值排班、电子巡检、流程管理等功能。具有手机APP功能。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r>
      <w:tr>
        <w:trPr>
          <w:trHeight w:val="12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监控管理工作站</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color w:val="auto"/>
                <w:highlight w:val="none"/>
                <w:lang w:val="en-US" w:eastAsia="zh-CN" w:bidi="ar"/>
              </w:rPr>
              <w:t xml:space="preserve">不低于：16核、</w:t>
            </w:r>
            <w:r>
              <w:rPr>
                <w:rStyle w:val="935"/>
                <w:rFonts w:eastAsia="宋体"/>
                <w:color w:val="auto"/>
                <w:highlight w:val="none"/>
                <w:lang w:val="en-US" w:eastAsia="zh-CN" w:bidi="ar"/>
              </w:rPr>
              <w:t xml:space="preserve">1</w:t>
            </w:r>
            <w:r>
              <w:rPr>
                <w:rStyle w:val="933"/>
                <w:rFonts w:ascii="宋体" w:hAnsi="宋体" w:eastAsia="宋体" w:cs="宋体"/>
                <w:color w:val="auto"/>
                <w:highlight w:val="none"/>
                <w:lang w:val="en-US" w:eastAsia="zh-CN" w:bidi="ar"/>
              </w:rPr>
              <w:t xml:space="preserve">6G DDR4以上内存、256G SSD+1T SATA机械硬盘，2G独立显卡，千兆网卡，24寸2K显示器，Win10操作系统，桌面音箱（USB接口）。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环境标志产品政府采购品目清单、节能产品政府采购品目清单</w:t>
            </w:r>
            <w:r/>
          </w:p>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707"/>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4280"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u w:val="none"/>
                <w:lang w:val="en-US" w:eastAsia="zh-CN" w:bidi="ar"/>
              </w:rPr>
              <w:t xml:space="preserve">交换容量≥670Gbps，包转发率≥126Mpps，24个千兆电口，4个万兆SFP+,电口支持POE+功能，关键芯片(CPU)采用国产自研；</w:t>
            </w:r>
            <w:r>
              <w:rPr>
                <w:rFonts w:hint="eastAsia" w:ascii="宋体" w:hAnsi="宋体" w:eastAsia="宋体" w:cs="宋体"/>
                <w:i w:val="0"/>
                <w:iCs w:val="0"/>
                <w:color w:val="000000"/>
                <w:sz w:val="20"/>
                <w:szCs w:val="20"/>
                <w:u w:val="none"/>
                <w:lang w:val="en-US" w:eastAsia="zh-CN" w:bidi="ar"/>
              </w:rPr>
              <w:t xml:space="preserve">支持物理复位按钮，实现设备复位</w:t>
            </w:r>
            <w:r>
              <w:rPr>
                <w:rFonts w:hint="eastAsia" w:ascii="宋体" w:hAnsi="宋体" w:eastAsia="宋体" w:cs="宋体"/>
                <w:i w:val="0"/>
                <w:iCs w:val="0"/>
                <w:color w:val="000000"/>
                <w:sz w:val="20"/>
                <w:szCs w:val="20"/>
                <w:u w:val="none"/>
                <w:lang w:val="en-US" w:eastAsia="zh-CN" w:bidi="ar"/>
              </w:rPr>
              <w:t xml:space="preserve">和恢复出厂配置，支持定位ID指示灯，维护人员可在后台点亮，便于快速定位设备位置；支持快速POE，交换机上电后实现秒级对PD设备的供电，为保证供电稳定，要求设备重启时POE供电不中断；支持 RIP、RIPng、OSPFv2、OSPFv3、VRRPv4、VRRPv6等路由协议；支持防止 DOS、ARP 攻击功能、ICMP 防攻击.支持Telemetry技术，配合网络分析组件通过智能故障识别算法对网络数据进行分析；支持内置网管，提供对整网的自动化管理能力；支持支持防止 DOS、ARP 攻击功能、ICMP 防攻击；</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短信猫</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短信收发器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监控采集器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采集器必须采用嵌入式一体化集中监控主机，自带linux系统；数据采集器支持2路WAN接口，2路LAN接口，100Mbps通讯速率；接口采用RJ45端子；所有板卡、传感器需支持热插拔，即插即用；支持web服务；可通过浏览器直接访问实现远程管理。</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电池组监测仪</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套蓄电池使用1台监控主机，监控主机管理的电池组数量和电池节数应满足现场使用要求；监控主机应具有数据采集、转发功能；监控主机具有1路Ethernet接口，支持MODBUS-TCP、SNMP通讯协议；1路RS485接口，支持MODBUS-RTU通讯协议；供采购方选择合适的方式接入现有动环系统；具有显示屏直观显示相关数据和报警，按键本地设置阈值及相关配置；设备支持本地操作修改内阻测试周期和手动触发测试内阻更新。</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单体电池检测模块（含内阻）</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供电电源：蓄电池两端直接取电12V/6V/2V型；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通讯接口：RJ11接口；供电电压范围：1.5--3V(2V)，4.8—7.8V(6V)，10--16V(12V)；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电压精度：±0.1％+10mV；内阻测量范围：0.05至250mΩ；内阻一致性：&lt;=±2%；温度测量范围：-20至+70°C；温度精度：±0.5°C；器件功耗：2V型：小于110毫瓦12V（6V）型：小于250毫瓦。</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监控单节电池的电压、内阻、温度参数及运行情况，出现异常情况时通过软件进行报警。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7.10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电流采集模块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量程0-100A;输出4-20MA，内径为21.5mm</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7.11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不低于：感器带LCD，温度：±0.5℃（25℃时），湿度：±4.5％RH (20～80%RH 25℃)，RS485通信</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7.12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水浸传感器用于监测机房内是否有漏水情况，并可以发出告警，由水浸检测绳、漏水报警探测器和转接线缆三部分组成。</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7.13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非定位式测漏控制模块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传感器-非定位式漏水传感器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7.14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固定式氢气变送器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固定式氢气变送器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7.15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粉尘传感器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量程：粉尘粒子浓度0千粒/升—8.8千粒/升；空气洁净度等级7.1级～9级；精度：±10%；供电电压：DC12V或DC24V；输出信号：RS485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7.16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通信串口</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支持监控主机电源及FE通讯扩展，可在智能微模块内灵活布局；提供2路FE级联接口，用于组成环网通信；提供4路PoE接口。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7.17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管理串口</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机架安装，POE端口或RS485端口供电；用于扩展设备接口数量，支持8路RS485或AIDI信号接入；支持连接感烟探测器、水浸传感器、门磁、红外传感器等传感器；每个端口可对外供电，其中两个RJ45共用一个独立控制的12V DC电源。</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7.18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42U资产条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42U 机柜柔性资产条</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7.19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消防监控</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消防主机干节点接入</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7.20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新风机监控</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新风机监控</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节能调控系统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智能电表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color w:val="auto"/>
                <w:highlight w:val="none"/>
                <w:lang w:val="en-US" w:eastAsia="zh-CN" w:bidi="ar"/>
              </w:rPr>
              <w:t xml:space="preserve">三相四线电子式四回路多功能电能表，带显示屏，精度等级：有功</w:t>
            </w:r>
            <w:r>
              <w:rPr>
                <w:rStyle w:val="935"/>
                <w:rFonts w:eastAsia="宋体"/>
                <w:color w:val="auto"/>
                <w:highlight w:val="none"/>
                <w:lang w:val="en-US" w:eastAsia="zh-CN" w:bidi="ar"/>
              </w:rPr>
              <w:t xml:space="preserve">1.0 </w:t>
            </w:r>
            <w:r>
              <w:rPr>
                <w:rStyle w:val="933"/>
                <w:color w:val="auto"/>
                <w:highlight w:val="none"/>
                <w:lang w:val="en-US" w:eastAsia="zh-CN" w:bidi="ar"/>
              </w:rPr>
              <w:t xml:space="preserve">级，无功</w:t>
            </w:r>
            <w:r>
              <w:rPr>
                <w:rStyle w:val="935"/>
                <w:rFonts w:eastAsia="宋体"/>
                <w:color w:val="auto"/>
                <w:highlight w:val="none"/>
                <w:lang w:val="en-US" w:eastAsia="zh-CN" w:bidi="ar"/>
              </w:rPr>
              <w:t xml:space="preserve">2.0 </w:t>
            </w:r>
            <w:r>
              <w:rPr>
                <w:rStyle w:val="933"/>
                <w:color w:val="auto"/>
                <w:highlight w:val="none"/>
                <w:lang w:val="en-US" w:eastAsia="zh-CN" w:bidi="ar"/>
              </w:rPr>
              <w:t xml:space="preserve">级；参比电压：</w:t>
            </w:r>
            <w:r>
              <w:rPr>
                <w:rStyle w:val="935"/>
                <w:rFonts w:eastAsia="宋体"/>
                <w:color w:val="auto"/>
                <w:highlight w:val="none"/>
                <w:lang w:val="en-US" w:eastAsia="zh-CN" w:bidi="ar"/>
              </w:rPr>
              <w:t xml:space="preserve">3×220V/380V</w:t>
            </w:r>
            <w:r>
              <w:rPr>
                <w:rStyle w:val="933"/>
                <w:color w:val="auto"/>
                <w:highlight w:val="none"/>
                <w:lang w:val="en-US" w:eastAsia="zh-CN" w:bidi="ar"/>
              </w:rPr>
              <w:t xml:space="preserve">；工作电压：</w:t>
            </w:r>
            <w:r>
              <w:rPr>
                <w:rStyle w:val="935"/>
                <w:rFonts w:eastAsia="宋体"/>
                <w:color w:val="auto"/>
                <w:highlight w:val="none"/>
                <w:lang w:val="en-US" w:eastAsia="zh-CN" w:bidi="ar"/>
              </w:rPr>
              <w:t xml:space="preserve">DC30-70V</w:t>
            </w:r>
            <w:r>
              <w:rPr>
                <w:rStyle w:val="933"/>
                <w:color w:val="auto"/>
                <w:highlight w:val="none"/>
                <w:lang w:val="en-US" w:eastAsia="zh-CN" w:bidi="ar"/>
              </w:rPr>
              <w:t xml:space="preserve">；带电流互感器，电流测量范围：</w:t>
            </w:r>
            <w:r>
              <w:rPr>
                <w:rStyle w:val="935"/>
                <w:rFonts w:eastAsia="宋体"/>
                <w:color w:val="auto"/>
                <w:highlight w:val="none"/>
                <w:lang w:val="en-US" w:eastAsia="zh-CN" w:bidi="ar"/>
              </w:rPr>
              <w:t xml:space="preserve">3×20(100)A</w:t>
            </w:r>
            <w:r>
              <w:rPr>
                <w:rStyle w:val="933"/>
                <w:color w:val="auto"/>
                <w:highlight w:val="none"/>
                <w:lang w:val="en-US" w:eastAsia="zh-CN" w:bidi="ar"/>
              </w:rPr>
              <w:t xml:space="preserve">、</w:t>
            </w:r>
            <w:r>
              <w:rPr>
                <w:rStyle w:val="935"/>
                <w:rFonts w:eastAsia="宋体"/>
                <w:color w:val="auto"/>
                <w:highlight w:val="none"/>
                <w:lang w:val="en-US" w:eastAsia="zh-CN" w:bidi="ar"/>
              </w:rPr>
              <w:t xml:space="preserve">3×50(200)A</w:t>
            </w:r>
            <w:r>
              <w:rPr>
                <w:rStyle w:val="933"/>
                <w:color w:val="auto"/>
                <w:highlight w:val="none"/>
                <w:lang w:val="en-US" w:eastAsia="zh-CN" w:bidi="ar"/>
              </w:rPr>
              <w:t xml:space="preserve">、</w:t>
            </w:r>
            <w:r>
              <w:rPr>
                <w:rStyle w:val="935"/>
                <w:rFonts w:eastAsia="宋体"/>
                <w:color w:val="auto"/>
                <w:highlight w:val="none"/>
                <w:lang w:val="en-US" w:eastAsia="zh-CN" w:bidi="ar"/>
              </w:rPr>
              <w:t xml:space="preserve">3×100(400)A</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节能调控边缘网关</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color w:val="auto"/>
                <w:highlight w:val="none"/>
                <w:lang w:val="en-US" w:eastAsia="zh-CN" w:bidi="ar"/>
              </w:rPr>
              <w:t xml:space="preserve">接口不低于：</w:t>
            </w:r>
            <w:r>
              <w:rPr>
                <w:rStyle w:val="935"/>
                <w:rFonts w:eastAsia="宋体"/>
                <w:color w:val="auto"/>
                <w:highlight w:val="none"/>
                <w:lang w:val="en-US" w:eastAsia="zh-CN" w:bidi="ar"/>
              </w:rPr>
              <w:t xml:space="preserve">4</w:t>
            </w:r>
            <w:r>
              <w:rPr>
                <w:rStyle w:val="933"/>
                <w:color w:val="auto"/>
                <w:highlight w:val="none"/>
                <w:lang w:val="en-US" w:eastAsia="zh-CN" w:bidi="ar"/>
              </w:rPr>
              <w:t xml:space="preserve">个</w:t>
            </w:r>
            <w:r>
              <w:rPr>
                <w:rStyle w:val="935"/>
                <w:rFonts w:eastAsia="宋体"/>
                <w:color w:val="auto"/>
                <w:highlight w:val="none"/>
                <w:lang w:val="en-US" w:eastAsia="zh-CN" w:bidi="ar"/>
              </w:rPr>
              <w:t xml:space="preserve">AI&amp;DI </w:t>
            </w:r>
            <w:r>
              <w:rPr>
                <w:rStyle w:val="933"/>
                <w:color w:val="auto"/>
                <w:highlight w:val="none"/>
                <w:lang w:val="en-US" w:eastAsia="zh-CN" w:bidi="ar"/>
              </w:rPr>
              <w:t xml:space="preserve">通道，</w:t>
            </w:r>
            <w:r>
              <w:rPr>
                <w:rStyle w:val="935"/>
                <w:rFonts w:eastAsia="宋体"/>
                <w:color w:val="auto"/>
                <w:highlight w:val="none"/>
                <w:lang w:val="en-US" w:eastAsia="zh-CN" w:bidi="ar"/>
              </w:rPr>
              <w:t xml:space="preserve">4</w:t>
            </w:r>
            <w:r>
              <w:rPr>
                <w:rStyle w:val="933"/>
                <w:color w:val="auto"/>
                <w:highlight w:val="none"/>
                <w:lang w:val="en-US" w:eastAsia="zh-CN" w:bidi="ar"/>
              </w:rPr>
              <w:t xml:space="preserve">个</w:t>
            </w:r>
            <w:r>
              <w:rPr>
                <w:rStyle w:val="935"/>
                <w:rFonts w:eastAsia="宋体"/>
                <w:color w:val="auto"/>
                <w:highlight w:val="none"/>
                <w:lang w:val="en-US" w:eastAsia="zh-CN" w:bidi="ar"/>
              </w:rPr>
              <w:t xml:space="preserve">DI</w:t>
            </w:r>
            <w:r>
              <w:rPr>
                <w:rStyle w:val="933"/>
                <w:color w:val="auto"/>
                <w:highlight w:val="none"/>
                <w:lang w:val="en-US" w:eastAsia="zh-CN" w:bidi="ar"/>
              </w:rPr>
              <w:t xml:space="preserve">通道</w:t>
            </w:r>
            <w:r>
              <w:rPr>
                <w:rStyle w:val="935"/>
                <w:rFonts w:eastAsia="宋体"/>
                <w:color w:val="auto"/>
                <w:highlight w:val="none"/>
                <w:lang w:val="en-US" w:eastAsia="zh-CN" w:bidi="ar"/>
              </w:rPr>
              <w:t xml:space="preserve">,4</w:t>
            </w:r>
            <w:r>
              <w:rPr>
                <w:rStyle w:val="933"/>
                <w:color w:val="auto"/>
                <w:highlight w:val="none"/>
                <w:lang w:val="en-US" w:eastAsia="zh-CN" w:bidi="ar"/>
              </w:rPr>
              <w:t xml:space="preserve">路</w:t>
            </w:r>
            <w:r>
              <w:rPr>
                <w:rStyle w:val="935"/>
                <w:rFonts w:eastAsia="宋体"/>
                <w:color w:val="auto"/>
                <w:highlight w:val="none"/>
                <w:lang w:val="en-US" w:eastAsia="zh-CN" w:bidi="ar"/>
              </w:rPr>
              <w:t xml:space="preserve">DO</w:t>
            </w:r>
            <w:r>
              <w:rPr>
                <w:rStyle w:val="933"/>
                <w:color w:val="auto"/>
                <w:highlight w:val="none"/>
                <w:lang w:val="en-US" w:eastAsia="zh-CN" w:bidi="ar"/>
              </w:rPr>
              <w:t xml:space="preserve">继电器输出控制，</w:t>
            </w:r>
            <w:r>
              <w:rPr>
                <w:rStyle w:val="935"/>
                <w:rFonts w:eastAsia="宋体"/>
                <w:color w:val="auto"/>
                <w:highlight w:val="none"/>
                <w:lang w:val="en-US" w:eastAsia="zh-CN" w:bidi="ar"/>
              </w:rPr>
              <w:t xml:space="preserve">16</w:t>
            </w:r>
            <w:r>
              <w:rPr>
                <w:rStyle w:val="933"/>
                <w:color w:val="auto"/>
                <w:highlight w:val="none"/>
                <w:lang w:val="en-US" w:eastAsia="zh-CN" w:bidi="ar"/>
              </w:rPr>
              <w:t xml:space="preserve">路</w:t>
            </w:r>
            <w:r>
              <w:rPr>
                <w:rStyle w:val="935"/>
                <w:rFonts w:eastAsia="宋体"/>
                <w:color w:val="auto"/>
                <w:highlight w:val="none"/>
                <w:lang w:val="en-US" w:eastAsia="zh-CN" w:bidi="ar"/>
              </w:rPr>
              <w:t xml:space="preserve">RS485</w:t>
            </w:r>
            <w:r>
              <w:rPr>
                <w:rStyle w:val="933"/>
                <w:color w:val="auto"/>
                <w:highlight w:val="none"/>
                <w:lang w:val="en-US" w:eastAsia="zh-CN" w:bidi="ar"/>
              </w:rPr>
              <w:t xml:space="preserve">串口，</w:t>
            </w:r>
            <w:r>
              <w:rPr>
                <w:rStyle w:val="935"/>
                <w:rFonts w:eastAsia="宋体"/>
                <w:color w:val="auto"/>
                <w:highlight w:val="none"/>
                <w:lang w:val="en-US" w:eastAsia="zh-CN" w:bidi="ar"/>
              </w:rPr>
              <w:t xml:space="preserve">2</w:t>
            </w:r>
            <w:r>
              <w:rPr>
                <w:rStyle w:val="933"/>
                <w:color w:val="auto"/>
                <w:highlight w:val="none"/>
                <w:lang w:val="en-US" w:eastAsia="zh-CN" w:bidi="ar"/>
              </w:rPr>
              <w:t xml:space="preserve">个带交换功能的</w:t>
            </w:r>
            <w:r>
              <w:rPr>
                <w:rStyle w:val="935"/>
                <w:rFonts w:eastAsia="宋体"/>
                <w:color w:val="auto"/>
                <w:highlight w:val="none"/>
                <w:lang w:val="en-US" w:eastAsia="zh-CN" w:bidi="ar"/>
              </w:rPr>
              <w:t xml:space="preserve">10M&amp;100M IP</w:t>
            </w:r>
            <w:r>
              <w:rPr>
                <w:rStyle w:val="933"/>
                <w:color w:val="auto"/>
                <w:highlight w:val="none"/>
                <w:lang w:val="en-US" w:eastAsia="zh-CN" w:bidi="ar"/>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节能调控系统管理平台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系统管理软件平台，包含首页展示、设备管理、模型管理、日志管理、报表管理、用户管理等。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节能调控算法模块</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color w:val="auto"/>
                <w:highlight w:val="none"/>
                <w:lang w:val="en-US" w:eastAsia="zh-CN" w:bidi="ar"/>
              </w:rPr>
              <w:t xml:space="preserve">根据历史负荷数据，搭建负荷预测模型，预测机房区域发热量和温度变化趋势；基于制造商设备参数与系统运行数据，搭建空调系统中各子模块的设备机理模型，即末端空调设备机理模型；以能耗最低</w:t>
            </w:r>
            <w:r>
              <w:rPr>
                <w:rStyle w:val="935"/>
                <w:rFonts w:eastAsia="宋体"/>
                <w:color w:val="auto"/>
                <w:highlight w:val="none"/>
                <w:lang w:val="en-US" w:eastAsia="zh-CN" w:bidi="ar"/>
              </w:rPr>
              <w:t xml:space="preserve">+</w:t>
            </w:r>
            <w:r>
              <w:rPr>
                <w:rStyle w:val="933"/>
                <w:color w:val="auto"/>
                <w:highlight w:val="none"/>
                <w:lang w:val="en-US" w:eastAsia="zh-CN" w:bidi="ar"/>
              </w:rPr>
              <w:t xml:space="preserve">温度均衡为目标导向，基于算法综合分析找到设备运行的最节能的控制参数组合，实现末端能效最优；基于寻优算法寻优得到的控制参数自动下发完成空调末端的控制</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0"/>
                <w:szCs w:val="20"/>
                <w:highlight w:val="none"/>
                <w:u w:val="none"/>
              </w:rPr>
              <w:suppressLineNumbers w:val="0"/>
            </w:pPr>
            <w:r>
              <w:rPr>
                <w:rFonts w:hint="default" w:ascii="Times New Roman" w:hAnsi="Times New Roman" w:eastAsia="宋体" w:cs="Times New Roman"/>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Style w:val="933"/>
                <w:color w:val="auto"/>
                <w:highlight w:val="none"/>
                <w:lang w:val="en-US" w:eastAsia="zh-CN" w:bidi="ar"/>
              </w:rPr>
              <w:t xml:space="preserve">采集历史数据并进行数据降噪，得到特征数据清单，并进行建模。</w:t>
            </w:r>
            <w:r/>
          </w:p>
        </w:tc>
      </w:tr>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cs="宋体"/>
                <w:b/>
                <w:bCs/>
                <w:i w:val="0"/>
                <w:iCs w:val="0"/>
                <w:color w:val="auto"/>
                <w:sz w:val="20"/>
                <w:szCs w:val="20"/>
                <w:highlight w:val="none"/>
                <w:u w:val="none"/>
                <w:lang w:val="en-US" w:eastAsia="zh-CN" w:bidi="ar"/>
              </w:rPr>
              <w:t xml:space="preserve">二、</w:t>
            </w:r>
            <w:r>
              <w:rPr>
                <w:rFonts w:hint="eastAsia" w:ascii="宋体" w:hAnsi="宋体" w:eastAsia="宋体" w:cs="宋体"/>
                <w:b/>
                <w:bCs/>
                <w:i w:val="0"/>
                <w:iCs w:val="0"/>
                <w:color w:val="auto"/>
                <w:sz w:val="20"/>
                <w:szCs w:val="20"/>
                <w:highlight w:val="none"/>
                <w:u w:val="none"/>
                <w:lang w:val="en-US" w:eastAsia="zh-CN" w:bidi="ar"/>
              </w:rPr>
              <w:t xml:space="preserve">机房配套工程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供配电系统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含机柜电缆、动力电缆、桥架、线管等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机柜线缆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ZR-YJV-3*6</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动力电缆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ZR-YJV4*25+1*16</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动力电缆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WDZA-YJV4*150+1*70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动力电缆-UPS至电池开关箱</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BVR185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走线架（宽度300mm）</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走线架（宽度300mm）</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JDG 20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JDG 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照明系统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含照明、插座、电缆、线管等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照明控制箱</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 16A 3+2单相</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照明灯具</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明装LED灯，600*600LED平板灯</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照明防爆灯具</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color w:val="auto"/>
                <w:highlight w:val="none"/>
              </w:rPr>
              <w:t xml:space="preserve">LED防爆双管灯，灯管不低于2*15W</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8</w:t>
            </w:r>
            <w:r/>
          </w:p>
          <w:p>
            <w:pPr>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单控开关</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16A</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双控开关</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16A</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三控开关</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16A</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LED应急灯</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LED应急平板灯</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照明电线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ZR-BV 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应急照明电线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ZR-BV 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墙插电线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ZR-BV 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防雷接地系统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含等电位端子箱、30平方毫米紫铜排、接地线缆等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新增等电位端子箱</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TD26</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紫铜排</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30平方毫米</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B级</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接地线缆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空调制冷系统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含精密空调各铜管、给排水管、冷媒、连接电缆等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46KW空调连接件及冷媒</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铜管、给排水管、冷媒、连接电缆等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13KW空调连接件及冷媒</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铜管、给排水管、冷媒、连接电缆等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rPr>
                <w:rFonts w:hint="default" w:ascii="Arial" w:hAnsi="Arial" w:eastAsia="宋体" w:cs="Arial"/>
                <w:i w:val="0"/>
                <w:iCs w:val="0"/>
                <w:color w:val="auto"/>
                <w:sz w:val="20"/>
                <w:szCs w:val="20"/>
                <w:highlight w:val="none"/>
                <w:u w:val="none"/>
              </w:rPr>
            </w:pPr>
            <w:r>
              <w:rPr>
                <w:rFonts w:hint="default" w:ascii="Arial" w:hAnsi="Arial" w:eastAsia="宋体" w:cs="Arial"/>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新风系统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含防火阀、风管、风口、内外机连接件、线缆、线管等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新风管道防火阀（70°）</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矩形，500*150，可与消防主机联动，接收24V信号启动；70度温感，常开模式</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镀锌薄钢板保温风管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风管500*150，0.75mm镀锌薄钢板，20mm橡塑板保温</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新风口（含连接件）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散流器和双层百叶风口外径尺寸300mm*300mm，铝合金材质，白色烤漆</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新风机墙面控制器连接线缆及线管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RVV8*1.0mm2，含线管和液晶控制面板组件</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新风机组内外机连接电缆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(RVV3*2.5+1.5mm2)×2组，含线管</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新风机组内外机连接铜管及其安装附件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管径：φ12mm和φ19mm，φ6mm和φ12mm，φ6和φ10mm，铜管和保温，含辅材和开孔等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布线系统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含配线架、理线架、光缆、网线、桥架等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12芯，紧套型万兆多模，LSZH，室内光缆，OM3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12芯万兆多模</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六类非屏蔽，24口防尘式配线架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24口六类配线架</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24口机架式光纤配线架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24口机架式光纤配线架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24芯 LC双工面板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24芯 LC双工面板</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LC/LC多模双工耦合器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LC/LC多模双工耦合器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color w:val="auto"/>
                <w:highlight w:val="none"/>
                <w:lang w:val="en-US" w:eastAsia="zh-CN" w:bidi="ar"/>
              </w:rPr>
              <w:t xml:space="preserve">万兆多模双工，LC-LC跳线,3米,</w:t>
            </w:r>
            <w:r>
              <w:rPr>
                <w:rStyle w:val="936"/>
                <w:color w:val="auto"/>
                <w:highlight w:val="none"/>
                <w:lang w:val="en-US" w:eastAsia="zh-CN" w:bidi="ar"/>
              </w:rPr>
              <w:t xml:space="preserve">OFNR</w:t>
            </w:r>
            <w:r>
              <w:rPr>
                <w:rStyle w:val="937"/>
                <w:color w:val="auto"/>
                <w:highlight w:val="none"/>
                <w:lang w:val="en-US" w:eastAsia="zh-CN" w:bidi="ar"/>
              </w:rPr>
              <w:t xml:space="preserve">,OM3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Style w:val="933"/>
                <w:color w:val="auto"/>
                <w:highlight w:val="none"/>
                <w:lang w:val="en-US" w:eastAsia="zh-CN" w:bidi="ar"/>
              </w:rPr>
              <w:t xml:space="preserve">万兆多模双工，LC-LC跳线,3米,</w:t>
            </w:r>
            <w:r>
              <w:rPr>
                <w:rStyle w:val="936"/>
                <w:color w:val="auto"/>
                <w:highlight w:val="none"/>
                <w:lang w:val="en-US" w:eastAsia="zh-CN" w:bidi="ar"/>
              </w:rPr>
              <w:t xml:space="preserve">OFNR</w:t>
            </w:r>
            <w:r>
              <w:rPr>
                <w:rStyle w:val="937"/>
                <w:color w:val="auto"/>
                <w:highlight w:val="none"/>
                <w:lang w:val="en-US" w:eastAsia="zh-CN" w:bidi="ar"/>
              </w:rPr>
              <w:t xml:space="preserve">,OM3</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LC多模单芯尾纤,1.5米,OFNR,OM3</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LC多模单芯尾纤,1.5米,OFNR,OM3</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网格式桥架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400x105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动环监控系统</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配套线管等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配套线管等</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配套线管等</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75"/>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cs="宋体"/>
                <w:b/>
                <w:bCs/>
                <w:i w:val="0"/>
                <w:iCs w:val="0"/>
                <w:color w:val="auto"/>
                <w:sz w:val="20"/>
                <w:szCs w:val="20"/>
                <w:highlight w:val="none"/>
                <w:u w:val="none"/>
                <w:lang w:val="en-US" w:eastAsia="zh-CN" w:bidi="ar"/>
              </w:rPr>
              <w:t xml:space="preserve">三、机房装修装饰建设</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装饰装修</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含主机房、接入间、配电间、电池间，290平米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主机房及接入区</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bottom"/>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墙面工程部分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rPr>
                <w:rFonts w:hint="default" w:ascii="Arial" w:hAnsi="Arial" w:eastAsia="宋体" w:cs="Arial"/>
                <w:i w:val="0"/>
                <w:iCs w:val="0"/>
                <w:color w:val="auto"/>
                <w:sz w:val="18"/>
                <w:szCs w:val="18"/>
                <w:highlight w:val="none"/>
                <w:u w:val="none"/>
              </w:rPr>
            </w:pPr>
            <w:r>
              <w:rPr>
                <w:rFonts w:hint="default" w:ascii="Arial" w:hAnsi="Arial" w:eastAsia="宋体" w:cs="Arial"/>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50轻钢龙骨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C75，龙骨材料种类、规格、中距：75×50×0.6，轻钢龙骨+穿心龙骨,天地龙骨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30厚防火岩棉</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30mm厚防火岩棉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彩钢板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1200mm宽，0.6mm厚机房专用防火金属面夹心板，表面为0.6mm厚钢板，内衬12mm厚石膏板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防火石膏板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12mm宽防火石膏板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门窗封堵</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棚面工程部分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600*600*0.8mm厚铝板基材,静电粉末喷涂，涂层厚度≥32uM，φ2.5 针孔，穿孔率16%；                                                                                                                                                     工作内容:基层清理，吊杆安装，龙骨安装、基层板铺贴、面层铺贴、嵌缝等。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铝合金收边条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压条材料种类、规格:25mm宽铝合金收边条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吊顶主龙骨及吊杆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50mm主龙骨+三角龙骨，龙骨材料种类、规格、中距：镀锌轻钢龙骨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顶面防尘处理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防尘漆：工作内容:基层清理；无机防尘漆3遍，无脱落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保温隔热材料品种、规格及厚度：B1级橡塑保温棉，厚度≥20mm；                                                                                                                                                      工作内容：基层清理、刷粘结材料、铺粘保温层、刷防护材料。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地面工程部分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地面找平处理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水泥砂浆，找平处理，高度20mm。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地面防尘处理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防尘漆：工作内容：基层清理；无机防尘漆2-3遍，无脱落。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保温隔热材料品种、规格及厚度：B1级橡塑保温棉，厚度≥20mm；                                                                                                                                                                         工作内容：基层清理、刷粘结材料、铺粘保温层、刷防护材料。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无边全钢防静电地板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新无边全钢防静电地板 全钢材质；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规格：600×600×35mm；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集中载荷≥800Kg，极限集中载荷≥1700Kg；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活动板由地板面、可调支架、承重横梁和缓冲垫组成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亚光拉丝不锈钢饰面踢脚线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100×1.2，拉丝不锈钢，材质304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踏步</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5#角钢制作骨架，静电地板贴面，不锈钢收边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搬运斜坡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5#角钢制作骨架，防滑钢板贴面，不锈钢收边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配电室及电池间</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bottom"/>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墙面工程部分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墙面批灰乳胶漆饰面</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3底3面乳胶漆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门窗封堵</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棚面工程部分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600*600*0.8mm厚铝板基材,静电粉末喷涂，涂层厚度≥32uM，φ2.5 针孔，穿孔率16%；                                                                                                                                                        工作内容:基层清理，吊杆安装，龙骨安装、基层板铺贴、面层铺贴、嵌缝等；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铝合金收边条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压条材料种类、规格:25mm宽铝合金收边条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吊顶主龙骨及吊杆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50mm主龙骨+三角龙骨，龙骨材料种类、规格、中距：镀锌轻钢龙骨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顶面防尘处理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防尘漆：工作内容:基层清理；无机防尘漆3遍，无脱落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保温隔热材料品种、规格及厚度：B1级橡塑保温棉，厚度≥20mm；                                                                                                                                                                        工作内容：基层清理、刷粘结材料、铺粘保温层、刷防护材料；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地面工程部分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地面找平处理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水泥砂浆，找平处理，高度20mm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地面防尘处理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防尘漆：工作内容：基层清理；无机防尘漆2-3遍，无脱落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1.2.10</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保温隔热材料品种、规格及厚度：B1级橡塑保温棉，厚度≥20mm；                                                                                                                                                                        工作内容：基层清理、刷粘结材料、铺粘保温层、刷防护材料；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1.2.11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无边全钢防静电地板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新无边全钢防静电地板 全钢材质；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规格：600×600×35mm；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集中载荷≥800Kg，极限集中载荷≥1700Kg；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活动板由地板面、可调支架、承重横梁和缓冲垫组成。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1.2.12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亚光拉丝不锈钢饰面踢脚线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100×1.2，拉丝不锈钢，材质304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1.2.13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踏步</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5#角钢制作骨架，静电地板贴面，不锈钢收边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搬运斜坡</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5#角钢制作骨架，防滑钢板贴面，不锈钢收边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门及其它工程部分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甲级双扇双开钢制防火门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1500x2300；甲级双扇双开钢制防火门；耐火极限：不小于1.2小时；防火门隔音效果：平均隔音RW&gt;=30dB。门扇厚：52mm；隔热效果：能保持内外温差500℃以上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为防止设备底座在机房焊接时产生火灾风险，设备承重底座采用拼装式模块化结构，工厂预制，无需现场焊接，材质为优质钢板，表面采用黑色静电喷塑工艺（与机柜一致），板材厚度为2.0mm，其中承重框为整体焊接结构，水平脚的调节范围为0～50mm；底座满足静载3000KG和抗震8烈度的要求，并提供第三方权威检测报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蓄电池组底座</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为防止设备底座在机房焊接时产生火灾风险，设备承重底座采用拼装式模块化结构，工厂预制，无需现场焊接，材质为优质钢板，表面采用黑色静电喷塑工艺（与机柜一致），板材厚度为2.0mm，其中承重框为整体焊接结构，水平脚的调节范围为0～50mm；底座满足静载3000KG和抗震8烈度的要求，并提供第三方权威检测报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空调防水围堰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水泥砂浆（1:3），砖砌，并粉刷聚氨酯防水涂料2-3遍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空调进水管道</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PPRφ25，保温厚度≥8mm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空调排水管道</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PPRφ50，保温厚度≥8mm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地漏</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封闭式地漏DN50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06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电子驱鼠器</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电子驱鼠器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righ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pStyle w:val="915"/>
        <w:numPr>
          <w:ilvl w:val="0"/>
          <w:numId w:val="0"/>
        </w:numPr>
        <w:rPr>
          <w:rFonts w:hint="default"/>
          <w:color w:val="auto"/>
          <w:highlight w:val="none"/>
          <w:lang w:val="en-US" w:eastAsia="zh-CN"/>
        </w:rPr>
      </w:pPr>
      <w:r>
        <w:rPr>
          <w:rFonts w:hint="default"/>
          <w:color w:val="auto"/>
          <w:highlight w:val="none"/>
          <w:lang w:val="en-US" w:eastAsia="zh-CN"/>
        </w:rPr>
      </w:r>
      <w:r/>
    </w:p>
    <w:p>
      <w:pPr>
        <w:pStyle w:val="915"/>
        <w:numPr>
          <w:ilvl w:val="0"/>
          <w:numId w:val="0"/>
        </w:numPr>
        <w:rPr>
          <w:rFonts w:hint="default"/>
          <w:color w:val="auto"/>
          <w:highlight w:val="none"/>
          <w:lang w:val="en-US" w:eastAsia="zh-CN"/>
        </w:rPr>
      </w:pPr>
      <w:r>
        <w:rPr>
          <w:rFonts w:hint="default"/>
          <w:color w:val="auto"/>
          <w:highlight w:val="none"/>
          <w:lang w:val="en-US" w:eastAsia="zh-CN"/>
        </w:rPr>
      </w:r>
      <w:r/>
    </w:p>
    <w:p>
      <w:pPr>
        <w:numPr>
          <w:ilvl w:val="0"/>
          <w:numId w:val="10"/>
        </w:numPr>
        <w:ind w:left="0" w:firstLine="0"/>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监控室建设</w:t>
      </w:r>
      <w:r/>
    </w:p>
    <w:tbl>
      <w:tblPr>
        <w:tblStyle w:val="9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0"/>
        <w:gridCol w:w="1812"/>
        <w:gridCol w:w="4278"/>
        <w:gridCol w:w="457"/>
        <w:gridCol w:w="520"/>
        <w:gridCol w:w="745"/>
      </w:tblGrid>
      <w:tr>
        <w:trPr>
          <w:trHeight w:val="37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default" w:ascii="宋体" w:hAnsi="宋体" w:eastAsia="宋体" w:cs="宋体"/>
                <w:b/>
                <w:bCs/>
                <w:i w:val="0"/>
                <w:iCs w:val="0"/>
                <w:color w:val="auto"/>
                <w:sz w:val="28"/>
                <w:szCs w:val="28"/>
                <w:highlight w:val="none"/>
                <w:u w:val="none"/>
                <w:lang w:val="en-US" w:eastAsia="zh-CN"/>
              </w:rPr>
              <w:suppressLineNumbers w:val="0"/>
            </w:pPr>
            <w:r>
              <w:rPr>
                <w:rFonts w:hint="eastAsia" w:ascii="宋体" w:hAnsi="宋体" w:cs="宋体"/>
                <w:b/>
                <w:bCs/>
                <w:i w:val="0"/>
                <w:iCs w:val="0"/>
                <w:color w:val="auto"/>
                <w:sz w:val="28"/>
                <w:szCs w:val="28"/>
                <w:highlight w:val="none"/>
                <w:u w:val="none"/>
                <w:lang w:val="en-US" w:eastAsia="zh-CN"/>
              </w:rPr>
              <w:t xml:space="preserve">监控室建设</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0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视频会议系统</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bottom"/>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bottom"/>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bottom"/>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采用分体式结构，嵌入式操作系统；支持≥4路高清视频输入接口、≥3路高清视频输出接口；支持≥7路音频输入接口、≥5路音频输出接口，至少具备卡侬头、RCA等音频接；支持本地≥ 2路4K HDMI信号合成为1路4K信号作为主流发送远端，支持≥10种合成布局；支持三屏三显功能。支持终端申请主席对会议中的其他参会终端从直播模式转到会议模式或者从会议模式转到直播模式，支持终端主动向主席申请从直播模式转到会议模式；会议模式支持电子白板、文件共享、电子投票、会议签到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支持≥800万像素1/2.5英寸CMOS芯片；支持≥12倍光学变焦；支持红外透传功能；支持HDMI、SDI、USB、网络四路视频同时输出；支持RS232和RS485串口，可对摄像机进行控制；支持预置位数量≥255个，预置位精度：≤0.1°。</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会议触控平板</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会议触控平板,10.4英寸，搭配会议终端使用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环境标志产品政府采购品目清单、节能产品政府采购品目清单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音频扩声系统</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bottom"/>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bottom"/>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bottom"/>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专业音箱</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采用≥1只6.5寸低音单元，≥1只1寸高音单元组成；额定功率≥120W；峰值功率:480W；频率范围（-10dB）:80HZ-20kHZ；灵敏度(±3dB):95dB:(1M/1W:)；最大声压级（±3dB）:116dB/122dB。</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bottom"/>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1U机箱设计，采用D类数字功放设计方案；标准XLR输入接口，和LINK输出口；电源采用开关电源技术，效率高，有效的抑制电源谐波；内置智能削峰限幅器，支持开机软启动，防止开机时向电网吸收大电流，干扰其它用电设备。 </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8路麦克风输入兼容6路线路输入接口，支持≥2路立体声输入接口，≥4路RCA输入，话筒接口幻象电源：+48V；具有≥2组立体声输出、≥4路编组输出、VNZH114≥4路辅助输出、≥1个耳机监听输出、≥1个接口双路效果输出 、≥1组控制室输出、≥1组主混音断点插入、≥6个断点插入；内置≥24位DSP效果器，提供≥100种预设效果；具备≥13个60mm行程的高精密碳膜推子；单声道均衡：高频：+/-15dB @12KHz；中频：+/-15dB @100Hz-8KHz；低频：+/-15dB @80Hz。</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支持前级放大、信号发生器、扩展器、压缩器、均衡器、闪避器、AGC自动增益、AM自动混音功能、AFC自适应反馈消除、AEC回声消除、ANC噪声消除、音频矩阵；设备具有高性能64bit DSP 处理器（800兆主频），48kHz采样频率，32bit/48KHz AD/DA，专业 DSP 处理，提供卓越的高品质声音；面板具备USB接口，支持多媒体存储，可进行存储录音或播放；支持场景预设、导入、导出，最大支持不少于8个场景。</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bottom"/>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备LCD显示屏，支持显示温度信息，实时输入电压信息、时间信息、IP信息，定时任务信息；具有≥8路单通道≥10A电源输出插座，总输出电流≥30A，支持实时监控插座功率；具有≥2个10M/100M网口，≥2路RS-485接口，≥1路USB接口提供照明灯供电；配备≥1个监听扬声器，支持人声报警提示；支持过载、短路保护功能；支持连接PC可视化界面进行远程操控；支持网络远程固件升级；支持主从机级联，支持通过一路网口接入局域网使用软件控制所有级联设备。</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分布式管理</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bottom"/>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bottom"/>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bottom"/>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分布式综合管理主机</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numPr>
                <w:ilvl w:val="0"/>
                <w:numId w:val="21"/>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基于分布式架构，对音视频及KVM系统进行管理、控制、数据交互等；内嵌拼接服务器软件及web管理系统；采用国产兆芯的CPU，配置等同于或优于八核，内存配置≥8GB，存储空间≥1TB，具备≥6个硬盘位可扩容空间；支持双机热备份，当主机宕机后，马上切换程序编码VNZH1110至备用机进行工作，完成主备切换后，备用机代替主机进行工作；</w:t>
            </w:r>
            <w:r/>
          </w:p>
          <w:p>
            <w:pPr>
              <w:numPr>
                <w:ilvl w:val="0"/>
                <w:numId w:val="21"/>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为保证系统兼容性与稳定性，方便后期管理维护，需要视频会议终端，音频处理器与分布式综合管理主机统一品牌。</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分布式管理平台软件</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软件支持国产操作系统，支持国产CPU，对音视频及KVM系统设备进行管理、控制、数据交互等，可采用B/S和C/S管理控制架构，支持中控功能，支持调节拼墙的亮度值、对比度值、色调值和饱和度值，范围均为0-100。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分布式综合管理系统控制软件</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自由操控，可实现所有视频信号源的视窗管理、拼接、任意缩放、画中画、画面漫游等功能，可实现对视窗参数的调整（叠加关系、位置、大小、比例等），可打开或关闭拼墙回显视频画面，支持调整拼墙声音输出的音量大小；支持中控功能；支持虚拟KVM功能；支持信号源可视化预览，实时显示输入盒信号源图像，支持搜索信号源。</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分布式中控主机</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处理器配置等同于或优于64位四核A55、主频等同于或优于1.5GHz；支持B/S架构，支持IOS、安卓等移动平台以及PC可视化触摸控制；支持可编程控制平台，支持音频、视频和周边设备控制，支持多设备间一键联动控制功能；主机支持≥2路千兆网口，≥10路RS232，≥10路RS485/RS422，≥8路IR，≥8路弱继电器，≥8个输入输出I/O接口，≥4个模拟量输入接口，≥1个模拟量输出接口。</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配合中控主机使用，用于控制灯光、电动窗帘等会议室周边设备；具有≥8路自动、手动电源控制器，内置≥8个20A继电器，负载能力≥4400W/单路；每路继电器具有常开与常闭功能；前面板具有键盘锁功能。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高清输入节点</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1.输入输出一体化设计，根据需求可任意配置为输入终端、输出终端、KVM输入终端或KVM输出终端；终端并支持去中心化无服务器架构部署。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▲2.作为输入节点时，支持采集1路YUV4:4:4 3840x2160P@60并编码，或同步采集2路3840x2160P@30fps高清视频信号并同步编码；作为输出节点时，支持同时解码4路3840x2160P@60fps高清视频信号，支持YUV4:4:4  3840x2160P@60解码并显示，支持画面平铺、缩放、叠加、分割等，支持同步输出2路不同的高清视频拼接合成画面。（</w:t>
            </w:r>
            <w:r>
              <w:rPr>
                <w:rFonts w:hint="eastAsia" w:ascii="宋体" w:hAnsi="宋体" w:eastAsia="宋体" w:cs="宋体"/>
                <w:b/>
                <w:bCs/>
                <w:i w:val="0"/>
                <w:iCs w:val="0"/>
                <w:color w:val="auto"/>
                <w:sz w:val="20"/>
                <w:szCs w:val="20"/>
                <w:highlight w:val="none"/>
                <w:u w:val="none"/>
                <w:lang w:val="en-US" w:eastAsia="zh-CN" w:bidi="ar"/>
              </w:rPr>
              <w:t xml:space="preserve">需提供具有资质的第三方检测报告，至少包括首页和正文页并加盖投标人公章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在不增加外部设备的情况VNZH1110下，支持在输入源上增加图片作为输入源的台标；支持设置拼墙字幕、输入盒字幕，可设置字体类型、排列方式、字体大小、字体颜色、背景颜色、透明度、滚动速度、字体间距、是否居中、显示位置等，以及支持底图功能，可在软件上启用或禁用底图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高清输出节点</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1.输入输出一体化设计，根据需求可任意配置为输入终端、输出终端、KVM输入终端或KVM输出终端；终端并支持去中心化无服务器架构部署。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2.作为输入节点时，支持采集1路YUV4:4:4 3840x2160P@60并编码，或同步采集2路3840x2160P@30fps高清视频信号并同步编码；作为输出节点时，支持同时解码4路3840x2160P@60fps高清视频信号，支持YUV4:4:4  3840x2160P@60解码并显示，支持画面平铺、缩放、叠加、分割等，支持同步输出2路不同的高清视频拼接合成画面。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在不增加外部设备的情况VNZH1110下，支持在输入源上增加图片作为输入源的台标；支持设置拼墙字幕、输入盒字幕，可设置字体类型、排列方式、字体大小、字体颜色、背景颜色、透明度、滚动速度、字体间距、是否居中、显示位置等，以及支持底图功能，可在软件上启用或禁用底图功能。</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鼠标键盘</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鼠标键盘</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24寸液晶显示屏</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24寸液晶显示屏及支架</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环境标志产品政府采购品目清单、节能产品政府采购品目清单</w:t>
            </w:r>
            <w:r/>
          </w:p>
        </w:tc>
      </w:tr>
      <w:tr>
        <w:trPr>
          <w:trHeight w:val="277"/>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3.10 </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双频双千兆路由器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3.11 </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24口网络交换机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3.12 </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控制电脑</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不低于：CPU：处理器8核、内存：8G、显卡：2G 独立显卡、硬盘容量：256G SSD固态硬盘</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环境标志产品政府采购品目清单、节能产品政府采购品目清单</w:t>
            </w:r>
            <w:r/>
          </w:p>
        </w:tc>
      </w:tr>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3.13 </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无线触摸控制屏</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不低于：运行内存：8G、硬盘存储：256G、屏幕尺寸：12英寸 、系统：HarmonyOS</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bidi="ar"/>
              </w:rPr>
              <w:t xml:space="preserve">环境标志产品政府采购品目清单、节能产品政府采购品目清单</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操作台及其他</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坐席操作台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12套坐席及配套座椅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台体深度800mm，框架结构部件使用冷轧钢板冲压折弯成型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所有钣金配件外表面使用静电吸塑工艺</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63"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42U，600*800*2000mm，网孔门</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bottom"/>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bottom"/>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numPr>
          <w:ilvl w:val="0"/>
          <w:numId w:val="10"/>
        </w:numPr>
        <w:ind w:left="0" w:firstLine="0"/>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数字运维管理平台</w:t>
      </w:r>
      <w:r/>
    </w:p>
    <w:tbl>
      <w:tblPr>
        <w:tblStyle w:val="9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6"/>
        <w:gridCol w:w="1823"/>
        <w:gridCol w:w="4279"/>
        <w:gridCol w:w="451"/>
        <w:gridCol w:w="510"/>
        <w:gridCol w:w="743"/>
      </w:tblGrid>
      <w:tr>
        <w:trPr>
          <w:trHeight w:val="37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数字运维管理平台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0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7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数字运维管理平台</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运维监控系统软件</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运维管理中台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总体要求</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平台采用B/S架构模式，支持基于HTTPS中文Web图形化界面管理；支持不少于20个并发用户同时登录系统并进行操作；支持设置访问会话超时、超时自动退出功能，即管理员在规定时间内无操作时，管理平台自动退出，重新登录后方可再次进行管理任务；支持密码保护与检测策略，同一账号密码连续多次错误一段时间内禁止登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eastAsia="宋体" w:cs="宋体"/>
                <w:i/>
                <w:iCs/>
                <w:color w:val="auto"/>
                <w:sz w:val="20"/>
                <w:szCs w:val="20"/>
                <w:highlight w:val="none"/>
                <w:u w:val="single"/>
                <w:lang w:val="en-US" w:eastAsia="zh-CN" w:bidi="ar"/>
              </w:rPr>
              <w:t xml:space="preserve">为实现大数据机房数据共享，投标人需承诺所投运维管理中台可授权数据可视化、数据报表功能二次开发接口，承诺支持与第三方环控系统、现有业务监控系统进行数据对接；同时为确保系统的整体性和兼容性，要求所投运维管理中台、运维监控管理平台、网络安全管理平台、IT运营分析管理平台均为同一厂商提供，所有功能均集成在一个系统上，实现数据统一管理。(</w:t>
            </w:r>
            <w:r>
              <w:rPr>
                <w:rFonts w:hint="eastAsia" w:ascii="宋体" w:hAnsi="宋体" w:eastAsia="宋体" w:cs="宋体"/>
                <w:b/>
                <w:bCs/>
                <w:i/>
                <w:iCs/>
                <w:color w:val="auto"/>
                <w:sz w:val="20"/>
                <w:szCs w:val="20"/>
                <w:highlight w:val="none"/>
                <w:u w:val="single"/>
                <w:lang w:val="en-US" w:eastAsia="zh-CN" w:bidi="ar"/>
              </w:rPr>
              <w:t xml:space="preserve">承诺材料格式自拟并加盖投标人公章</w:t>
            </w:r>
            <w:r>
              <w:rPr>
                <w:rFonts w:hint="eastAsia" w:ascii="宋体" w:hAnsi="宋体" w:eastAsia="宋体" w:cs="宋体"/>
                <w:i/>
                <w:iCs/>
                <w:color w:val="auto"/>
                <w:sz w:val="20"/>
                <w:szCs w:val="20"/>
                <w:highlight w:val="none"/>
                <w:u w:val="singl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运维监控管理平台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统一门户管理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对B/S架构应用系统的认证接入和统一管理，用户无需多次登录和身份验证，即可访问多个系统；支持告警信息集中管理，能够集成第三方运维系统日志信息，设置告警策略，采用统一的移动端通信媒介进行告警信息推送。（</w:t>
            </w:r>
            <w:r>
              <w:rPr>
                <w:rFonts w:hint="eastAsia" w:ascii="宋体" w:hAnsi="宋体" w:eastAsia="宋体" w:cs="宋体"/>
                <w:b/>
                <w:bCs/>
                <w:i w:val="0"/>
                <w:iCs w:val="0"/>
                <w:color w:val="auto"/>
                <w:sz w:val="20"/>
                <w:szCs w:val="20"/>
                <w:highlight w:val="none"/>
                <w:u w:val="none"/>
                <w:lang w:val="en-US" w:eastAsia="zh-CN" w:bidi="ar"/>
              </w:rPr>
              <w:t xml:space="preserve">提供功能截图并加盖投标人公章</w:t>
            </w: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336"/>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网络设备管理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1.资源监控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网络设备监控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交换机、路由器、OLT、ONU等基础网络设备的统一监控，能够持续监测运行状态、CPU使用率、内存使用率、丢包率、延迟、接口流量、接口速率等性能指标，可实现以可视化的视角展示交换机接口面板，直观获取每个接口的在线状态、闲置状态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安全设备监控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支持防火墙、网闸、堡垒机、负载均衡、态势感知、WAF、IDS、IPS等安全设备的统一监控，能够持续监控运行状态、CPU使用率、内存使用率、丢包率、延迟、接口流量、接口速率等性能指标。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无线设备监控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无线监控系统需通过无线控制器（AC）自动采集并实时监控所有接入点（AP）的关键运行数据，具体包括：AP在线/离线状态、CPU与内存使用率、工作信道、信号强度、信噪比以及当前连接终端数量。同时系统需支持查看每个连接终端的详细信息，包括终端MAC地址与IP地址、认证账号信息、所关联AP名称、当前使用的射频模式（802.11a/b/g/n/ac/ax）、实时信号质量指标以及上下行流量数据等关键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2.网络拓扑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拓扑自动发现与生成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系统应支持主动扫描IP地址段或通过标准协议自动识别网络设备，拓扑图应支持多种布局（力学、树形等），并允许手动调整。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实时运行状态可视化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拓扑图需动态展示设备状态，包括在线/离线、接口状态（Up/Down）、CPU/内存利用率、链路带宽使用率、告警状态等，并以颜色、图标等方式直观呈现；支持按照名称、IP地址等查询条件快速定位设备在拓扑图中的位置；支持拓扑图底色更换；支持鸟瞰图展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拓扑自动修正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系统支持自定义配置周期自动扫描网络，检测设备增减、连接变更，并自动更新拓扑图。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3.配置备份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提供手动立即备份和自动周期备份两种模式。自动备份需具备灵活的可配置性，允许按需设置备份时间间隔（如每日/每周、每月），同时支持通过FTP/SFTP等协议进行远程备份存储。系统需实时显示每次备份任务的执行状态（成功或失败），并提供历史备份文件的在线查看和下载功能，确保配置数据可随时检索和恢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4.终端定位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实时定位，通过终端MAC地址或IP，快速确认终端的位置，快速确认终端的入网信息。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5.非法查找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支持网络中非网管交换机、路由器等设备的连接信息检测。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6.IP地址簿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子网自动扫描和手动添加，能够统计各子网IP使用率；支持子网IP使用状态可视化展示，包括IP在线状态和分配状态统计；支持IP和MAC地址绑定，针对IP地址冲突进行告警提示；支持IP地址标记功能，自定义标记每个IP的使用人、用途等；支持快速获取每个IP的入网信息，包括接入设备IP、接入设备名称、接入设备接口；支持查看每个IP的在某个周期内的终端使用记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7.网络巡检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网络系统环境进行全方位巡检，实时获取最新故障信息。支持交换机网口检测功能，实时查询交换机网口使用率，包括已使用端口数量、总端口数量、端口利用率等；支持交换机闲置网口（长期未激活网口）检测，避免交换机网口资源浪费的情况，支持检测结果导出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8.网络时钟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支持网络时钟监测功能。要求平台能够对接NTP服务器，对监控节点进行时钟监测，并对时钟异常的节点进行告警提示。</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84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资产监控管理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1.操作系统管理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支持对Windows、Linux、麒麟、统信等主流操作系统的监控，通过Agent、SNMP、SSH、WMI等多种采集方式实现。监控指标需包括运行状态、CPU、内存、磁盘、进程、端口等网络连接状态等指标。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2.数据库管理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支持对Oracle、MS SQL、MySQL、Caché等主流数据库的监控，包括死锁、线程、会话、请求、失败作业、数据文件等指标；支持通过输入子网信息对数据库资源进行批量扫描纳管；支持对Oracle、MS SQL等数据库的锁表语句进行分析和查看；支持Oracle表空间使用统计；支持手动生成或按需自动创建 AWR 报表，用户可自定义配置生成周期、报表时间范围及生成时间，并提供报表在线查看与下载功能。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3.虚拟化管理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支持宿主机、虚拟机资源使用统计和性能分析，包括CPU、内存、磁盘、网络等指标；支持容量使用预测，提示虚拟化资源扩容；支持虚拟化告警信息采集和通知。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4.API接口监听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支持业务系统API接口监听，可按照业务系统进行分组管理，自动计算接口健康度指标；能够通过Web端、移动端进行告警通知。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5.中间件管理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支持对Tomcat、Apache、Nginx、Weblogic等主流中间件的监控，包括会话、内存、组件加载、计数器、IO性能、连接信息等指标。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6.存储设备管理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支持对存储设备的电源、风扇、磁盘、控制器等硬件状态的监测，以及对存储设备的LUN性能、磁盘性能、IOPS等性能指标的监控。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7.物联网终端设备管理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支持对三方的视频监控系统、门禁系统、多媒体会议系统等智能化系统所依赖的物联网终端设备进行统一监控和管理，通过构建业务视图，以可视化的方式实时展示每个终端设备的运行状态。</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日志审计管理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支持日志审计功能，能够对网络设备、安全设备等资产的日志、事件、告警等安全信息进行全面的审计，并且以统一格式的日志形式对数据进行存储和管理；支持通过 Syslog、SNMP Trap、FTP等多种方式完成日志收集功能；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支持日志搜索功能，能够按照资源类型、关键词进行全局搜索；支持日志告警策略管理，能够按照日志资源、日志等级、日志关键词、日志接收人等条件设置告警机制。</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环境监测系统管理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提供以太网环控设备，实现对机房、弱电间7*24小时温湿度监控，并通过移动端进行告警推送；支持可视化面板展示方式，能够对异常的监测点进行标记；支持告警阈值自定义设置，实现不同监测点对温湿度管理的个性化需求。（</w:t>
            </w:r>
            <w:r>
              <w:rPr>
                <w:rFonts w:hint="eastAsia" w:ascii="宋体" w:hAnsi="宋体" w:eastAsia="宋体" w:cs="宋体"/>
                <w:b/>
                <w:bCs/>
                <w:i w:val="0"/>
                <w:iCs w:val="0"/>
                <w:color w:val="auto"/>
                <w:sz w:val="20"/>
                <w:szCs w:val="20"/>
                <w:highlight w:val="none"/>
                <w:u w:val="none"/>
                <w:lang w:val="en-US" w:eastAsia="zh-CN" w:bidi="ar"/>
              </w:rPr>
              <w:t xml:space="preserve">提供功能截图并加盖投标人公章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2.支持通过以太网方式上传数据，实现局域网内通信、跨网关广域网通信；支持设备报警功能，内置蜂鸣器和声光报警器，可实现高、低温报警和高、低湿报警。</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3D机房管理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对机房、机柜及IT资产进行三维建模，构建机房三维仿真系统，能够以可视化的方式进行实时展示；支持机柜容量可视化管理，能够实时展示机柜容量的占用情况，并进行容量使用统计；支持资产可视化管理，能够真实反映IT设备的物理位置、资产信息、运行状态、性能指标等数据；支持告警可视化管理，能够对存在异常的设备进行告警提醒，定位异常设备所在的机柜及槽位。</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09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综合管理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1.数据大屏管理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支持以业务、资产等视角对信息化资产进行全方位、立体化展示，提供综合运维大屏、业务大屏、资产大屏、网络大屏等多种展示方案；各大屏展示方案支持自定义内容配置；支持多种展示方案轮播管理。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2.报表管理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支持故障统计报表、业务综合报表、流量报表等多种类型的报表；支持PDF格式文件的生成和下载，能够通过移动端进行推送和查看。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3.智能巡检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支持智能巡检功能，能够对网络设备、安全设备、主机系统、虚拟化、数据库等不同类型的监控资产按照日、周、月等周期设置巡检计划，可通过PC端和移动端实时统计和查看资源运行状态和性能指标。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4.告警管理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故障信息的统一管理，能够按照对象类型、故障等级、故障状态等条件进行筛选；支持自定义设置监控对象的阈值；支持告警策略管理，能够按照资源类型、监控对象、告警等级等条件设置不同的消息接收人，并支持连续推送和分级推送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5.工单管理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工单的标准化流程管理，工单类型可分为自建工单和系统工单，涵盖工单创建、指派、确认、处理及完成等全流程功能；支持根据监控告警信息一键生成并指派故障工单，提升响应效率；支持多维度的工单统计分析，包括工单类型统计、状态统计、紧急程度统计等，便于全面掌握工单处理情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6.移动端管理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支持企业微信、钉钉、小程序等多种移动端管理方式，具备故障通知、设备管理、告警管理、在线检测（ping、telnet）等功能。</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基础配置要求</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要求配置≥500个监控节点永久性授权；≥5套业务视图管理永久性授权；≥15套以太网环控监测终端，实现对机房和弱电间的温湿度监控。</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网络安全管理平台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数据概览</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1.▲支持基于网络安全视角，将</w:t>
            </w:r>
            <w:r>
              <w:rPr>
                <w:rFonts w:hint="eastAsia" w:ascii="宋体" w:hAnsi="宋体" w:eastAsia="宋体" w:cs="宋体"/>
                <w:i w:val="0"/>
                <w:iCs w:val="0"/>
                <w:color w:val="auto"/>
                <w:sz w:val="20"/>
                <w:szCs w:val="20"/>
                <w:highlight w:val="none"/>
                <w:u w:val="none"/>
                <w:lang w:val="en-US" w:eastAsia="zh-CN" w:bidi="ar"/>
              </w:rPr>
              <w:t xml:space="preserve">网络安全中的信息资产、安全管理人员、安全事件、安全考评等要素进行统计分析；支持在概览页面中查看安全服务核心数据，包括安全服务厂商列表、安全服务类目总数和各个类目的服务次数、安全服务记录总数等；支持查看信息资产的统计数据，能够以直观可视化的方式，快速了解；支持查看安全事件的统计信息，包括安全事件总数、最新安全事件列表、安全事件类型分布图、安全事件年度发生趋势图等；支持查看安全管理人员的画像，包含部门信息、学习记录、负责的资产总数以及处置的事件数和完成率；支持查看安全考评指标的完成情况统计和内部培训记录统计。（</w:t>
            </w:r>
            <w:r>
              <w:rPr>
                <w:rFonts w:hint="eastAsia" w:ascii="宋体" w:hAnsi="宋体" w:eastAsia="宋体" w:cs="宋体"/>
                <w:b/>
                <w:bCs/>
                <w:i w:val="0"/>
                <w:iCs w:val="0"/>
                <w:color w:val="auto"/>
                <w:sz w:val="20"/>
                <w:szCs w:val="20"/>
                <w:highlight w:val="none"/>
                <w:u w:val="none"/>
                <w:lang w:val="en-US" w:eastAsia="zh-CN" w:bidi="ar"/>
              </w:rPr>
              <w:t xml:space="preserve">提供功能截图并加盖投标人公章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2.支持在数据概览页面中，根据统计的关键数据，包含安全服务次数、安全服务类目、安全事件统计、培训统计等，能够进行点击，快速查看对应的数据列表或数据详情。</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信息资产管理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支持针对不同类型的信息资产构建数据模型，能够通过拖拉拽的方式自定义设置数据模型属性，实现对各类型资产的全信息录入管理；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资产关联关系管理，通过配置资产模型与模型的关系和资产模型与属性集的关系，能够从资产的服务器配置、应用软件、端口策略、域名、服务厂商、项目建设等不同维度进行管理；支持按照资产数据模型进行实例数据的添加，能够自定义设置筛选条件和列表属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IT资产的全量深度扫描功能，能够通过提供子网、SNMP、服务器账号等信息，深度发现信息资产的配置和属性信息，并进行资产实例的一键导入；支持查看扫描设备的特征分析数据，便于进行资产的识别与分析，做好资产信息的完善。</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网络安全服务管理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安全服务概览管理，能够查看安全服务厂商数量、安全服务目录总数、安全服务次数以及安全服务台账总数等，并能够点击查看列表；支持在概览页面，能够以时间轴的形式查看整个安全服务记录，并支持点击查看详情；支持安全服务目录管理，能够对安全服务类目进行计划和过程管理；支持查看各个安全服务的基本信息，包括服务概述、政策要求，并支持上传和预览相关附件；支持对各个安全服务项目进行数据统计，包括安全服务次数、服务过程文档总数，并能够点击查看详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支持自定义安全项目预警规则，针对单次、周、月、年等各周期自动监控，实现“事前”的即将超期预警与“事后”的超期告警，确保安全服务的及时交付与响应；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支持针对各专项工作（如网络安全周、等保、密评、安服专项项目等）制定专门的任务里程碑、并允许在里程碑内自定义多项任务；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支持根据不同任务模板创建任务，记录各里程碑中的各任务对应责任人、截止时间、任务进度、过程文档等信息，实现任务标准化与流程化管理。</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网络安全事件管理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安全事件处置管理，能够基于预设好的事件处置流程，根据信息资产中的责任人，自动识别并进行事件处置下发管理；支持事件处置流程自定义，能够以图形化的方式进行设置；支持根据不同的场景设置多个事件处置流程，并可以根据不同的职责配置发起人的范围；支持事件处理节点权限自定义，能够配置各流程节点的发起人、处理人、处理角色、处理命令和抄送人等，选人方式支持不同维度配置；支持事件处理表单的自定义，能够通过拖拉拽的方式自定义设置事件处置表单，实现多类型事件的处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支持移动端事件处理，可在移动端进行事件的通知、查看、处置和统计；支持通过移动端查看事件处置的流程细节，实时了解事件的处置人、处置进展、处置措施、处置总结等信息；支持倒计时提醒功能。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支持事件统计功能，能够通过一个页面，查看事件总数、未完成总数以及已完成总数；支持按照事件类型、事件来源、事件等级分布、事件趋势进行可视化图形化方式呈现。</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网络安全考评管理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网络安全考核管理，可自定义设置考核内容、分数及权重比。支持根据考核类型分组管理，支持查询对应的考核指标及完成状态；支持考核指标任务派发管理，可指定负责人及设置工作要求。支持任务管理功能，可添加任务规划和进展，以便了解完成状态和相关信息；（</w:t>
            </w:r>
            <w:r>
              <w:rPr>
                <w:rFonts w:hint="eastAsia" w:ascii="宋体" w:hAnsi="宋体" w:eastAsia="宋体" w:cs="宋体"/>
                <w:b/>
                <w:bCs/>
                <w:i w:val="0"/>
                <w:iCs w:val="0"/>
                <w:color w:val="auto"/>
                <w:sz w:val="20"/>
                <w:szCs w:val="20"/>
                <w:highlight w:val="none"/>
                <w:u w:val="none"/>
                <w:lang w:val="en-US" w:eastAsia="zh-CN" w:bidi="ar"/>
              </w:rPr>
              <w:t xml:space="preserve">提供功能截图并加盖投标人公章</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2.支持可视化的方式展示最新的考核总得分和状态统计信息。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网络安全培训管理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网络安全培训计划管理，能够针对指定的培训人员，按照培训周期、培训内容、培训地点、培训资源进行培训计划制定，并对培训过程进行记录，形成完整的培训档案。支持对网络安全培训数据进行多维度统计与分析，可直观展示培训开展次数、资源使用情况及参训人员覆盖率等关键指标。系统应能基于每位学员参与的培训课程、累计学习时长及考核成绩等数据，自动生成个人“学习能力画像”，为评估培训成效、优化培训策略提供数据支撑。</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IT运营分析管理平台</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45"/>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运营分析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驾驶舱</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支持围绕运维保障、网络安全、工作任务等维度按照不同的角色提供个性</w:t>
            </w:r>
            <w:r>
              <w:rPr>
                <w:rFonts w:hint="eastAsia" w:ascii="宋体" w:hAnsi="宋体" w:eastAsia="宋体" w:cs="宋体"/>
                <w:i w:val="0"/>
                <w:iCs w:val="0"/>
                <w:color w:val="auto"/>
                <w:sz w:val="20"/>
                <w:szCs w:val="20"/>
                <w:highlight w:val="none"/>
                <w:u w:val="none"/>
                <w:lang w:val="en-US" w:eastAsia="zh-CN" w:bidi="ar"/>
              </w:rPr>
              <w:t xml:space="preserve">化数据管理驾驶舱，全方位、立体化展示信息部门工作情况，并支持数据下钻，查看每个维度的详细数据，实现关键指标量化、人员工作洞察，全面了解信息化建设整体情况，辅助决策分析。支持内置场景化模板，开箱即用，快速生成专属个性化看板；支持多维度的数据组件库，能够通过拖拽不同类型图表、文本等组件自由布局驾驶舱。支持直连多种数据源（Oracle、SqlServer、MySql等），能够通过Api、静态Json方式等绑定报表的数据。支持提供标准API接口和链接嵌入功能对接三方系统，整合分散在其他系统的数据，实现统一视图展示。</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AI智能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数据看板</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系统应支持用户通过自然语言指令直接生成图表。AI需自动解析指令语义，识别数据需求、分析维度与图表类型，并智能关联至指定数据源。系统应能即时响应，自动生成符合指令要求的规范图表（如折线图、柱状图、饼图等），快速展示分析结果。功能需实现从自然语言到可视化的自动化转换，无需手动操作数据字段或编写查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数据看板功能。用户将自然语言生成的图表按需保存至自定义看板中，支持创建并命名多个看板。保存后的图表在看板中持久化存储，用户后续可直接访问查看，无需重新生成。该功能允许用户按主题或需求分类组织图表，实现分析结果的快速复用与集中监控。</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智能任务发布</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1.支持基于自然语言的智能任务解析与创建功能。 用户可通过自然语言直接描述任务需求，自动精准解析指令语义，智能识别并提取关键结构化任务要素，包括但不限于任务名称、详细描述、指定责任人、明确截止日期与时间等核心字段。系统自动将这些提取的要素完整填充至任务创建表单的对应结构化字段中，生成规范化的任务记录。对于用户描述中可能存在的模糊信息，引擎需具备上下文理解能力，进行智能推断与建议补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需集成智能派单引擎，实现任务的高效、合理化分配与流转。引擎应基于规则引擎进行动态评估，自动为任务智能推荐最合适的负责人。同时支持任务发布人指定任务负责人的情况。系统需支持任务负责人根据实际情况进行主动或被动的任务转移操作，确保任务能顺畅流转至可胜任人员。</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85"/>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任务生命周期管理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1.需提供AI驱动的智能任务拆解功能。 该功能旨在辅助任务负责人高效梳理工作思路。基于选定任务，AI引擎应能智能分析任务目标与要求，并按逻辑步骤或关键里程碑节点，自动拆解成更小的工作项。系统需支持负责人对AI建议进行调整。允许负责人便捷地记录和更新每个拆解项的进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2.系统必须提供完备的任务全流程跟踪与过程记录功能。 参数要求任务负责人能够实时记录任务进度状态，系统需提供明确的状态选项及进度百分比或里程碑完成标记功能；同时必须支持负责人按需添加详细的过程信息，所有记录必须附带精确的时间戳和操作人信息。系统需确保上述所有过程信息和进度更新数据完整、持久化存储，支持条件进行快速检索与筛选。此外，系统需提供直观的任务进度详细的过程记录查阅界面，确保管理人员或其他授权人员能便捷、全面地查看任一任务的历史操作序列、详细进展记录及当前准确状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3.系统需实现智能催办功能，基于规则自动触发任务提醒。 引擎必须实时监控任务时间节点，对即将到期任务及超期未完成的已逾期任务自动识别；系统向任务负责人即时发送催办消息，内容须包含任务名称、原定截止时间等信息。支持对任务执行质量进行多维度量化评分，保障任务执行质量，评价结果计入人员工作统计，驱动工作质量持续优化，强化工作质管力度。</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目标管理</w:t>
            </w:r>
            <w:r/>
          </w:p>
        </w:tc>
        <w:tc>
          <w:tcPr>
            <w:shd w:val="clear" w:color="auto" w:fill="auto"/>
            <w:tcBorders>
              <w:top w:val="single" w:color="000000" w:sz="4" w:space="0"/>
              <w:left w:val="single" w:color="000000" w:sz="4" w:space="0"/>
              <w:bottom w:val="single" w:color="000000" w:sz="4" w:space="0"/>
              <w:right w:val="single" w:color="000000" w:sz="4" w:space="0"/>
            </w:tcBorders>
            <w:tcW w:w="25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战略目标与执行任务的联动管理。建立目标与任务的从属关联关系。系统需提供目标进度全景视图，能直观展示目标下属任务的完成状态。同时支持目标中查看所关联的任务，跳转至任务详情跟踪具体任务进度，形成目标可监督-任务可跟进的闭关管理。支持历史目标复用功能。对于需周期性执行的重复性目标，可一键复制历史目标的全套任务，系统自动继承历史任务的数据。</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pStyle w:val="915"/>
        <w:numPr>
          <w:ilvl w:val="0"/>
          <w:numId w:val="0"/>
        </w:numPr>
        <w:rPr>
          <w:rFonts w:hint="default"/>
          <w:color w:val="auto"/>
          <w:highlight w:val="none"/>
          <w:lang w:val="en-US" w:eastAsia="zh-CN"/>
        </w:rPr>
      </w:pPr>
      <w:r>
        <w:rPr>
          <w:rFonts w:hint="default"/>
          <w:color w:val="auto"/>
          <w:highlight w:val="none"/>
          <w:lang w:val="en-US" w:eastAsia="zh-CN"/>
        </w:rPr>
      </w:r>
      <w:r/>
    </w:p>
    <w:p>
      <w:pPr>
        <w:numPr>
          <w:ilvl w:val="0"/>
          <w:numId w:val="10"/>
        </w:numPr>
        <w:ind w:left="0" w:firstLine="0"/>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outlineLvl w:val="3"/>
      </w:pPr>
      <w:r>
        <w:rPr>
          <w:rFonts w:hint="eastAsia" w:ascii="宋体" w:hAnsi="宋体" w:eastAsia="宋体" w:cs="Times New Roman"/>
          <w:b/>
          <w:bCs/>
          <w:color w:val="auto"/>
          <w:sz w:val="24"/>
          <w:szCs w:val="21"/>
          <w:highlight w:val="none"/>
          <w:lang w:val="en-US" w:eastAsia="zh-CN" w:bidi="ar-SA"/>
        </w:rPr>
        <w:t xml:space="preserve">数据中心搬迁及相关服务</w:t>
      </w:r>
      <w:r/>
    </w:p>
    <w:tbl>
      <w:tblPr>
        <w:tblStyle w:val="9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4"/>
        <w:gridCol w:w="1815"/>
        <w:gridCol w:w="4278"/>
        <w:gridCol w:w="457"/>
        <w:gridCol w:w="516"/>
        <w:gridCol w:w="742"/>
      </w:tblGrid>
      <w:tr>
        <w:trPr>
          <w:trHeight w:val="37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default" w:ascii="宋体" w:hAnsi="宋体" w:eastAsia="宋体" w:cs="宋体"/>
                <w:b/>
                <w:bCs/>
                <w:i w:val="0"/>
                <w:iCs w:val="0"/>
                <w:color w:val="auto"/>
                <w:sz w:val="28"/>
                <w:szCs w:val="28"/>
                <w:highlight w:val="none"/>
                <w:u w:val="none"/>
                <w:lang w:val="en-US"/>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数据中心搬迁及相关服务</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06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数据中心驻场服务</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提供一名数据中心工程师驻场服务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1、了解医疗业务流程与行业规则，具备优秀的技术沟通与协作能力，能严格遵循医院各项规章制度，具备患者隐私保护意识；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2、熟练掌握 InterSystems IRIS / Caché 的架构；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3、熟练掌握ObjectScript既 InterSystems平台（IRIS/Caché）最核心的 native 开发语言。精通它的语法、持久化类的定义、以及其在模型层的应用；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4、熟练操作和掌握IRIS/Caché日志与错误分析能力，掌握基本的系统监控技能，包括健康检查、日志分析、性能指标监控等；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5、平时与医院的工作作息时间一致，无条件服从突发情况下需要紧急处理事件和实时响应的要求；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eastAsia="宋体" w:cs="宋体"/>
                <w:i/>
                <w:iCs/>
                <w:color w:val="auto"/>
                <w:sz w:val="20"/>
                <w:szCs w:val="20"/>
                <w:highlight w:val="none"/>
                <w:u w:val="single"/>
                <w:lang w:val="en-US" w:eastAsia="zh-CN" w:bidi="ar"/>
              </w:rPr>
              <w:t xml:space="preserve">熟悉objectScript native开发语言和数据库、表字段,表关联关系；具备三年以上工作经验，专业水平要满足实际工作需要，须满足医院考核要求</w:t>
            </w:r>
            <w:r>
              <w:rPr>
                <w:rStyle w:val="933"/>
                <w:i/>
                <w:iCs/>
                <w:color w:val="auto"/>
                <w:highlight w:val="none"/>
                <w:u w:val="single"/>
                <w:lang w:val="en-US" w:eastAsia="zh-CN" w:bidi="ar"/>
              </w:rPr>
              <w:t xml:space="preserve">，如不能满足，医院有权更换，直至满足为止。</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534"/>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网络安全驻场服务</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提供一名网络安全工程师驻场服务，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工作技术技能：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1、责任心强，具备优秀的技术沟通与协作能力，能严格遵循医院各项规章制度，具备患者隐私保护意识。与医院的工作作息时间一致，突发情况，无条件服从突发情况下需要紧急处理事件和实时响应的要求；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2、了解Windows/Linux操作系统基础命令与安全设置，掌握网络基础知识（TCP/IP, VLAN, 路由交换），熟悉主流虚拟化平台和网络安全设备（防火墙、WAF等）的配置与管理，具备网络、虚拟化专业维护及故障处理能力；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3、不少于3年的行业经验且具有网络工程师中级及以上证书；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4、对我院数据中心、机房基础设施（UPS、空调、消防系统等）进行巡</w:t>
            </w:r>
            <w:r>
              <w:rPr>
                <w:rFonts w:hint="eastAsia" w:ascii="宋体" w:hAnsi="宋体" w:eastAsia="宋体" w:cs="宋体"/>
                <w:i w:val="0"/>
                <w:iCs w:val="0"/>
                <w:color w:val="auto"/>
                <w:sz w:val="20"/>
                <w:szCs w:val="20"/>
                <w:highlight w:val="none"/>
                <w:u w:val="none"/>
                <w:lang w:val="en-US" w:eastAsia="zh-CN" w:bidi="ar"/>
              </w:rPr>
              <w:t xml:space="preserve">检，记录设备运行参数（如温度、电压、负载等），及时发现异常并预警；协助对设备进行清洁、固件升级、配置备份等维护工作，确保机房各类设备稳定运行；协助处理南院电脑及打印机的故障；网络安日常运维服务，包括每日监控我院关键网络安全设备（防火墙、WAF、IDS/IPS、VPN、核心交换机等）运行状态，检查安全策略有效性，记录设备日志（如攻击拦截日志、异常访问日志），及时发现潜在安全风险并预警、问题处理等服务；定期对核心关键设备进行巡检，补丁更新、密码策略合规性，防范弱口令、未修复漏洞等安全隐患，并形成固定的巡检报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eastAsia="宋体" w:cs="宋体"/>
                <w:i/>
                <w:iCs/>
                <w:color w:val="auto"/>
                <w:sz w:val="20"/>
                <w:szCs w:val="20"/>
                <w:highlight w:val="none"/>
                <w:u w:val="single"/>
                <w:lang w:val="en-US" w:eastAsia="zh-CN" w:bidi="ar"/>
              </w:rPr>
              <w:t xml:space="preserve">须满足医院考核要求</w:t>
            </w:r>
            <w:r>
              <w:rPr>
                <w:rStyle w:val="933"/>
                <w:i/>
                <w:iCs/>
                <w:color w:val="auto"/>
                <w:highlight w:val="none"/>
                <w:u w:val="single"/>
                <w:lang w:val="en-US" w:eastAsia="zh-CN" w:bidi="ar"/>
              </w:rPr>
              <w:t xml:space="preserve">，如不能满足，医院有权更换，直至满足为止。</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bottom"/>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535"/>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数据中心搬迁服务</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iCs/>
                <w:color w:val="auto"/>
                <w:sz w:val="20"/>
                <w:szCs w:val="20"/>
                <w:highlight w:val="none"/>
                <w:u w:val="single"/>
                <w:lang w:val="en-US" w:eastAsia="zh-CN" w:bidi="ar"/>
              </w:rPr>
              <w:t xml:space="preserve">将把现有南院区老数据中心的部分服务器、存储、网络、云平台系统及设备搬迁到南院区新建数据中心，业务也随之进行割接迁移。本次搬迁涉及到信息基础设施部分核心关键业务部分，采用在线搬迁的方式，即建立平滑的网络过渡环境，以数据存储为核心，保障网络和应用系统的稳定性、连续性。涉及到核心关键业务迁移，需要协调信息系统软件厂商DBA到现场技术提供支撑保障。并提供承诺函，保证迁移不影响业务系统的正常运行。(</w:t>
            </w:r>
            <w:r>
              <w:rPr>
                <w:rFonts w:hint="eastAsia" w:ascii="宋体" w:hAnsi="宋体" w:eastAsia="宋体" w:cs="宋体"/>
                <w:b/>
                <w:bCs/>
                <w:i/>
                <w:iCs/>
                <w:color w:val="auto"/>
                <w:sz w:val="20"/>
                <w:szCs w:val="20"/>
                <w:highlight w:val="none"/>
                <w:u w:val="single"/>
                <w:lang w:val="en-US" w:eastAsia="zh-CN" w:bidi="ar"/>
              </w:rPr>
              <w:t xml:space="preserve">承诺材料格式自拟并加盖投标人公章</w:t>
            </w:r>
            <w:r>
              <w:rPr>
                <w:rFonts w:hint="eastAsia" w:ascii="宋体" w:hAnsi="宋体" w:eastAsia="宋体" w:cs="宋体"/>
                <w:i/>
                <w:iCs/>
                <w:color w:val="auto"/>
                <w:sz w:val="20"/>
                <w:szCs w:val="20"/>
                <w:highlight w:val="none"/>
                <w:u w:val="single"/>
                <w:lang w:val="en-US" w:eastAsia="zh-CN" w:bidi="ar"/>
              </w:rPr>
              <w:t xml:space="preserve">)</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应用系统迁移需根据系统特性和新平台特点，建议采用分平台、差异化的迁移策略：</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核心业务系统（迁移至C86平台）</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系统列表：部分HIS系统、服务总线、数据中心、医技相关系统。</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迁移方式：优先使用专门的自动化迁移工具，以提升效率。</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互联网区系统（迁移至C86外网区）</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系统列表：互联网区域需迁移的相关系统。</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迁移方式：直接迁移至C86架构的外网区，与现有网络规划一致。</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备选ARM平台系统（根据C86资源情况决策）</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系统列表（暂定）：CDSS（临床决策支持系统）、电子病历归档、科研系统、医政及HRP系统。</w:t>
            </w:r>
            <w:r>
              <w:rPr>
                <w:rFonts w:hint="eastAsia" w:ascii="宋体" w:hAnsi="宋体" w:eastAsia="宋体" w:cs="宋体"/>
                <w:i/>
                <w:iCs/>
                <w:color w:val="auto"/>
                <w:sz w:val="20"/>
                <w:szCs w:val="20"/>
                <w:highlight w:val="none"/>
                <w:u w:val="single"/>
                <w:lang w:val="en-US" w:eastAsia="zh-CN" w:bidi="ar"/>
              </w:rPr>
              <w:br/>
            </w:r>
            <w:r>
              <w:rPr>
                <w:rFonts w:hint="eastAsia" w:ascii="宋体" w:hAnsi="宋体" w:eastAsia="宋体" w:cs="宋体"/>
                <w:i/>
                <w:iCs/>
                <w:color w:val="auto"/>
                <w:sz w:val="20"/>
                <w:szCs w:val="20"/>
                <w:highlight w:val="none"/>
                <w:u w:val="single"/>
                <w:lang w:val="en-US" w:eastAsia="zh-CN" w:bidi="ar"/>
              </w:rPr>
              <w:t xml:space="preserve">迁移方式：由于架构差异，无法使用工具直接迁移。需要系统建设厂商进行完整的重新安装、部署、数据迁移、功能测试和性能调优。</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left"/>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应急电源保障服务</w:t>
            </w:r>
            <w:r/>
          </w:p>
        </w:tc>
        <w:tc>
          <w:tcPr>
            <w:shd w:val="clear" w:color="auto" w:fill="auto"/>
            <w:tcBorders>
              <w:top w:val="single" w:color="000000" w:sz="4" w:space="0"/>
              <w:left w:val="single" w:color="000000" w:sz="4" w:space="0"/>
              <w:bottom w:val="single" w:color="000000" w:sz="4" w:space="0"/>
              <w:right w:val="single" w:color="000000" w:sz="4" w:space="0"/>
            </w:tcBorders>
            <w:tcW w:w="2510"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b w:val="0"/>
                <w:bCs w:val="0"/>
                <w:i/>
                <w:iCs/>
                <w:color w:val="auto"/>
                <w:sz w:val="20"/>
                <w:szCs w:val="20"/>
                <w:highlight w:val="none"/>
                <w:u w:val="single"/>
                <w:lang w:val="en-US" w:eastAsia="zh-CN" w:bidi="ar"/>
              </w:rPr>
              <w:t xml:space="preserve">供电容量400KW用电量，1小时内到达三院南院区接驳点，承诺项目交付前免费提供1次应急供应保障演练，质保期内每年提供不少于1次移动应急供电。(</w:t>
            </w:r>
            <w:r>
              <w:rPr>
                <w:rFonts w:hint="eastAsia" w:ascii="宋体" w:hAnsi="宋体" w:eastAsia="宋体" w:cs="宋体"/>
                <w:b/>
                <w:bCs/>
                <w:i/>
                <w:iCs/>
                <w:color w:val="auto"/>
                <w:sz w:val="20"/>
                <w:szCs w:val="20"/>
                <w:highlight w:val="none"/>
                <w:u w:val="single"/>
                <w:lang w:val="en-US" w:eastAsia="zh-CN" w:bidi="ar"/>
              </w:rPr>
              <w:t xml:space="preserve">承诺材料格式自拟并加盖投标人公章</w:t>
            </w:r>
            <w:r>
              <w:rPr>
                <w:rFonts w:hint="eastAsia" w:ascii="宋体" w:hAnsi="宋体" w:eastAsia="宋体" w:cs="宋体"/>
                <w:b w:val="0"/>
                <w:bCs w:val="0"/>
                <w:i/>
                <w:iCs/>
                <w:color w:val="auto"/>
                <w:sz w:val="20"/>
                <w:szCs w:val="20"/>
                <w:highlight w:val="none"/>
                <w:u w:val="singl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rPr>
            </w:r>
            <w:r/>
          </w:p>
        </w:tc>
      </w:tr>
    </w:tbl>
    <w:p>
      <w:pPr>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注：1、上述斜体下划线部分内容为实质性响应参数，如供应商不按照招标文件要求作出响应，作废标处理。</w:t>
      </w:r>
      <w:r/>
    </w:p>
    <w:p>
      <w:pPr>
        <w:pStyle w:val="922"/>
        <w:numPr>
          <w:ilvl w:val="0"/>
          <w:numId w:val="0"/>
        </w:numPr>
        <w:ind w:firstLine="480"/>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2、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p>
    <w:p>
      <w:pPr>
        <w:pStyle w:val="922"/>
        <w:numPr>
          <w:ilvl w:val="0"/>
          <w:numId w:val="0"/>
        </w:numPr>
        <w:ind w:firstLine="480"/>
        <w:rPr>
          <w:rFonts w:hint="default"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3、上述参数中标注★的参数为实质性响应参数，标注▲的参数为重要技术参数。</w:t>
      </w:r>
      <w:r/>
    </w:p>
    <w:p>
      <w:pPr>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br w:type="page" w:clear="all"/>
      </w:r>
      <w:r/>
    </w:p>
    <w:p>
      <w:pPr>
        <w:pStyle w:val="921"/>
        <w:spacing w:before="120" w:beforeAutospacing="0" w:after="120" w:afterAutospacing="0" w:line="360" w:lineRule="auto"/>
        <w:rPr>
          <w:rFonts w:hint="eastAsia" w:ascii="宋体" w:hAnsi="宋体" w:eastAsia="Arial" w:cs="宋体"/>
          <w:b/>
          <w:bCs/>
          <w:color w:val="auto"/>
          <w:sz w:val="24"/>
          <w:szCs w:val="20"/>
          <w:highlight w:val="none"/>
          <w:lang w:val="en-US" w:eastAsia="zh-CN"/>
        </w:rPr>
      </w:pPr>
      <w:r>
        <w:rPr>
          <w:color w:val="auto"/>
          <w:highlight w:val="none"/>
        </w:rPr>
        <w:t xml:space="preserve"> </w:t>
      </w:r>
      <w:r>
        <w:rPr>
          <w:rFonts w:hint="eastAsia" w:ascii="宋体" w:hAnsi="宋体" w:eastAsia="Arial" w:cs="宋体"/>
          <w:b/>
          <w:bCs/>
          <w:color w:val="auto"/>
          <w:sz w:val="24"/>
          <w:szCs w:val="20"/>
          <w:highlight w:val="none"/>
          <w:lang w:val="en-US" w:eastAsia="zh-CN"/>
        </w:rPr>
        <w:t xml:space="preserve">五、投标人投标时应提供以下方案</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lang w:val="en-US" w:eastAsia="zh-CN"/>
        </w:rPr>
        <w:t xml:space="preserve">投标人应根据采购需求和本项目实际要求，制订相应的服务方案至少包含以下内容：</w:t>
      </w:r>
      <w:r/>
    </w:p>
    <w:p>
      <w:pPr>
        <w:ind w:firstLine="482"/>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①投标人根据本项目总体要求，提供科学合理的项目实施方案，进行详细阐述。至少包含以下内容：</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outlineLvl w:val="3"/>
      </w:pPr>
      <w:r>
        <w:rPr>
          <w:rFonts w:hint="eastAsia" w:ascii="宋体" w:hAnsi="宋体" w:eastAsia="Arial" w:cs="宋体"/>
          <w:b w:val="0"/>
          <w:bCs w:val="0"/>
          <w:color w:val="auto"/>
          <w:sz w:val="24"/>
          <w:szCs w:val="20"/>
          <w:highlight w:val="none"/>
        </w:rPr>
        <w:t xml:space="preserve">1.需求分析</w:t>
      </w:r>
      <w:r/>
    </w:p>
    <w:p>
      <w:pPr>
        <w:ind w:firstLine="482"/>
        <w:jc w:val="left"/>
        <w:keepLines w:val="0"/>
        <w:keepNext w:val="0"/>
        <w:pageBreakBefore w:val="0"/>
        <w:spacing w:line="360" w:lineRule="auto"/>
        <w:widowControl/>
        <w:rPr>
          <w:rFonts w:hint="eastAsia" w:ascii="宋体" w:hAnsi="宋体"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（1）清晰阐述项目要达成的具体成果，需基于调研与分析，确保</w:t>
      </w:r>
      <w:r>
        <w:rPr>
          <w:rFonts w:hint="eastAsia" w:ascii="宋体" w:hAnsi="宋体" w:eastAsia="宋体" w:cs="宋体"/>
          <w:color w:val="auto"/>
          <w:sz w:val="24"/>
          <w:highlight w:val="none"/>
          <w:lang w:bidi="ar"/>
        </w:rPr>
        <w:t xml:space="preserve">数据中心项目建设</w:t>
      </w:r>
      <w:r>
        <w:rPr>
          <w:rFonts w:hint="eastAsia" w:ascii="宋体" w:hAnsi="宋体" w:eastAsia="Arial" w:cs="宋体"/>
          <w:b w:val="0"/>
          <w:bCs w:val="0"/>
          <w:color w:val="auto"/>
          <w:sz w:val="24"/>
          <w:szCs w:val="20"/>
          <w:highlight w:val="none"/>
        </w:rPr>
        <w:t xml:space="preserve">目标合理且</w:t>
      </w:r>
      <w:r>
        <w:rPr>
          <w:rFonts w:hint="eastAsia" w:ascii="宋体" w:hAnsi="宋体" w:cs="宋体"/>
          <w:b w:val="0"/>
          <w:bCs w:val="0"/>
          <w:color w:val="auto"/>
          <w:sz w:val="24"/>
          <w:szCs w:val="20"/>
          <w:highlight w:val="none"/>
        </w:rPr>
        <w:t xml:space="preserve">具有</w:t>
      </w:r>
      <w:r>
        <w:rPr>
          <w:rFonts w:hint="eastAsia" w:ascii="宋体" w:hAnsi="宋体" w:eastAsia="Arial" w:cs="宋体"/>
          <w:b w:val="0"/>
          <w:bCs w:val="0"/>
          <w:color w:val="auto"/>
          <w:sz w:val="24"/>
          <w:szCs w:val="20"/>
          <w:highlight w:val="none"/>
        </w:rPr>
        <w:t xml:space="preserve">现实可行性</w:t>
      </w:r>
      <w:r>
        <w:rPr>
          <w:rFonts w:hint="eastAsia" w:ascii="宋体" w:hAnsi="宋体" w:cs="宋体"/>
          <w:b w:val="0"/>
          <w:bCs w:val="0"/>
          <w:color w:val="auto"/>
          <w:sz w:val="24"/>
          <w:szCs w:val="20"/>
          <w:highlight w:val="none"/>
        </w:rPr>
        <w:t xml:space="preserve">。</w:t>
      </w:r>
      <w:r/>
    </w:p>
    <w:p>
      <w:pPr>
        <w:ind w:firstLine="482"/>
        <w:jc w:val="left"/>
        <w:keepLines w:val="0"/>
        <w:keepNext w:val="0"/>
        <w:pageBreakBefore w:val="0"/>
        <w:spacing w:line="360" w:lineRule="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rPr>
        <w:t xml:space="preserve">（2）梳理</w:t>
      </w:r>
      <w:r>
        <w:rPr>
          <w:rFonts w:hint="eastAsia" w:ascii="宋体" w:hAnsi="宋体" w:cs="宋体"/>
          <w:b w:val="0"/>
          <w:bCs w:val="0"/>
          <w:color w:val="auto"/>
          <w:sz w:val="24"/>
          <w:szCs w:val="20"/>
          <w:highlight w:val="none"/>
          <w:lang w:val="en-US" w:eastAsia="zh-CN"/>
        </w:rPr>
        <w:t xml:space="preserve">新建机房与</w:t>
      </w:r>
      <w:r>
        <w:rPr>
          <w:rFonts w:hint="eastAsia" w:ascii="宋体" w:hAnsi="宋体" w:eastAsia="Arial" w:cs="宋体"/>
          <w:b w:val="0"/>
          <w:bCs w:val="0"/>
          <w:color w:val="auto"/>
          <w:sz w:val="24"/>
          <w:szCs w:val="20"/>
          <w:highlight w:val="none"/>
        </w:rPr>
        <w:t xml:space="preserve">当前</w:t>
      </w:r>
      <w:r>
        <w:rPr>
          <w:rFonts w:hint="eastAsia" w:ascii="宋体" w:hAnsi="宋体" w:cs="宋体"/>
          <w:b w:val="0"/>
          <w:bCs w:val="0"/>
          <w:color w:val="auto"/>
          <w:sz w:val="24"/>
          <w:szCs w:val="20"/>
          <w:highlight w:val="none"/>
          <w:lang w:val="en-US" w:eastAsia="zh-CN"/>
        </w:rPr>
        <w:t xml:space="preserve">机房可能</w:t>
      </w:r>
      <w:r>
        <w:rPr>
          <w:rFonts w:hint="eastAsia" w:ascii="宋体" w:hAnsi="宋体" w:eastAsia="Arial" w:cs="宋体"/>
          <w:b w:val="0"/>
          <w:bCs w:val="0"/>
          <w:color w:val="auto"/>
          <w:sz w:val="24"/>
          <w:szCs w:val="20"/>
          <w:highlight w:val="none"/>
        </w:rPr>
        <w:t xml:space="preserve">存在的问题、痛点以及对未来发展的潜在制约因素</w:t>
      </w:r>
      <w:r>
        <w:rPr>
          <w:rFonts w:hint="eastAsia" w:ascii="宋体" w:hAnsi="宋体" w:eastAsia="宋体" w:cs="宋体"/>
          <w:b w:val="0"/>
          <w:bCs w:val="0"/>
          <w:color w:val="auto"/>
          <w:sz w:val="24"/>
          <w:szCs w:val="20"/>
          <w:highlight w:val="none"/>
          <w:lang w:val="en-US" w:eastAsia="zh-CN"/>
        </w:rPr>
        <w:t xml:space="preserve">不少于5个</w:t>
      </w:r>
      <w:r>
        <w:rPr>
          <w:rFonts w:hint="eastAsia" w:ascii="宋体" w:hAnsi="宋体" w:eastAsia="Arial" w:cs="宋体"/>
          <w:b w:val="0"/>
          <w:bCs w:val="0"/>
          <w:color w:val="auto"/>
          <w:sz w:val="24"/>
          <w:szCs w:val="20"/>
          <w:highlight w:val="none"/>
        </w:rPr>
        <w:t xml:space="preserve">，</w:t>
      </w:r>
      <w:r>
        <w:rPr>
          <w:rFonts w:hint="eastAsia" w:ascii="宋体" w:hAnsi="宋体" w:eastAsia="宋体" w:cs="宋体"/>
          <w:b w:val="0"/>
          <w:bCs w:val="0"/>
          <w:color w:val="auto"/>
          <w:sz w:val="24"/>
          <w:szCs w:val="20"/>
          <w:highlight w:val="none"/>
          <w:lang w:val="en-US" w:eastAsia="zh-CN"/>
        </w:rPr>
        <w:t xml:space="preserve">优化</w:t>
      </w:r>
      <w:r>
        <w:rPr>
          <w:rFonts w:hint="eastAsia" w:ascii="宋体" w:hAnsi="宋体" w:eastAsia="宋体" w:cs="宋体"/>
          <w:color w:val="auto"/>
          <w:sz w:val="24"/>
          <w:highlight w:val="none"/>
          <w:lang w:bidi="ar"/>
        </w:rPr>
        <w:t xml:space="preserve">数据中心设计拓扑</w:t>
      </w:r>
      <w:r>
        <w:rPr>
          <w:rFonts w:hint="eastAsia" w:ascii="宋体" w:hAnsi="宋体" w:eastAsia="宋体" w:cs="宋体"/>
          <w:color w:val="auto"/>
          <w:sz w:val="24"/>
          <w:highlight w:val="none"/>
          <w:lang w:eastAsia="zh-CN" w:bidi="ar"/>
        </w:rPr>
        <w:t xml:space="preserve">，</w:t>
      </w:r>
      <w:r>
        <w:rPr>
          <w:rFonts w:hint="eastAsia" w:ascii="宋体" w:hAnsi="宋体" w:eastAsia="Arial" w:cs="宋体"/>
          <w:b w:val="0"/>
          <w:bCs w:val="0"/>
          <w:color w:val="auto"/>
          <w:sz w:val="24"/>
          <w:szCs w:val="20"/>
          <w:highlight w:val="none"/>
        </w:rPr>
        <w:t xml:space="preserve">为后续</w:t>
      </w:r>
      <w:r>
        <w:rPr>
          <w:rFonts w:hint="eastAsia" w:ascii="宋体" w:hAnsi="宋体" w:eastAsia="宋体" w:cs="宋体"/>
          <w:b w:val="0"/>
          <w:bCs w:val="0"/>
          <w:color w:val="auto"/>
          <w:sz w:val="24"/>
          <w:szCs w:val="20"/>
          <w:highlight w:val="none"/>
          <w:lang w:val="en-US" w:eastAsia="zh-CN"/>
        </w:rPr>
        <w:t xml:space="preserve">建设</w:t>
      </w:r>
      <w:r>
        <w:rPr>
          <w:rFonts w:hint="eastAsia" w:ascii="宋体" w:hAnsi="宋体" w:eastAsia="Arial" w:cs="宋体"/>
          <w:b w:val="0"/>
          <w:bCs w:val="0"/>
          <w:color w:val="auto"/>
          <w:sz w:val="24"/>
          <w:szCs w:val="20"/>
          <w:highlight w:val="none"/>
        </w:rPr>
        <w:t xml:space="preserve">提供基础</w:t>
      </w:r>
      <w:r>
        <w:rPr>
          <w:rFonts w:hint="eastAsia" w:ascii="宋体" w:hAnsi="宋体" w:cs="宋体"/>
          <w:b w:val="0"/>
          <w:bCs w:val="0"/>
          <w:color w:val="auto"/>
          <w:sz w:val="24"/>
          <w:szCs w:val="20"/>
          <w:highlight w:val="none"/>
        </w:rPr>
        <w:t xml:space="preserve">。</w:t>
      </w:r>
      <w:r>
        <w:rPr>
          <w:rFonts w:hint="eastAsia" w:ascii="宋体" w:hAnsi="宋体" w:eastAsia="Arial" w:cs="宋体"/>
          <w:b w:val="0"/>
          <w:bCs w:val="0"/>
          <w:color w:val="auto"/>
          <w:sz w:val="24"/>
          <w:szCs w:val="20"/>
          <w:highlight w:val="none"/>
        </w:rPr>
        <w:t xml:space="preserve">全面分析现有</w:t>
      </w:r>
      <w:r>
        <w:rPr>
          <w:rFonts w:hint="eastAsia" w:ascii="宋体" w:hAnsi="宋体" w:eastAsia="宋体" w:cs="宋体"/>
          <w:b w:val="0"/>
          <w:bCs w:val="0"/>
          <w:color w:val="auto"/>
          <w:sz w:val="24"/>
          <w:szCs w:val="20"/>
          <w:highlight w:val="none"/>
          <w:lang w:val="en-US" w:eastAsia="zh-CN"/>
        </w:rPr>
        <w:t xml:space="preserve">环境</w:t>
      </w:r>
      <w:r>
        <w:rPr>
          <w:rFonts w:hint="eastAsia" w:ascii="宋体" w:hAnsi="宋体" w:eastAsia="Arial" w:cs="宋体"/>
          <w:b w:val="0"/>
          <w:bCs w:val="0"/>
          <w:color w:val="auto"/>
          <w:sz w:val="24"/>
          <w:szCs w:val="20"/>
          <w:highlight w:val="none"/>
        </w:rPr>
        <w:t xml:space="preserve">在安全性、覆盖面、功能性、实用性、适配性等方面存在的问题。此外，需识别出技术架构、</w:t>
      </w:r>
      <w:r>
        <w:rPr>
          <w:rFonts w:hint="eastAsia" w:ascii="宋体" w:hAnsi="宋体" w:eastAsia="宋体" w:cs="宋体"/>
          <w:b w:val="0"/>
          <w:bCs w:val="0"/>
          <w:color w:val="auto"/>
          <w:sz w:val="24"/>
          <w:szCs w:val="20"/>
          <w:highlight w:val="none"/>
          <w:lang w:val="en-US" w:eastAsia="zh-CN"/>
        </w:rPr>
        <w:t xml:space="preserve">AI</w:t>
      </w:r>
      <w:r>
        <w:rPr>
          <w:rFonts w:hint="eastAsia" w:ascii="宋体" w:hAnsi="宋体" w:eastAsia="Arial" w:cs="宋体"/>
          <w:b w:val="0"/>
          <w:bCs w:val="0"/>
          <w:color w:val="auto"/>
          <w:sz w:val="24"/>
          <w:szCs w:val="20"/>
          <w:highlight w:val="none"/>
        </w:rPr>
        <w:t xml:space="preserve">应用等方面可能对项目未来发展产生</w:t>
      </w:r>
      <w:r>
        <w:rPr>
          <w:rFonts w:hint="eastAsia" w:ascii="宋体" w:hAnsi="宋体" w:eastAsia="宋体" w:cs="宋体"/>
          <w:b w:val="0"/>
          <w:bCs w:val="0"/>
          <w:color w:val="auto"/>
          <w:sz w:val="24"/>
          <w:szCs w:val="20"/>
          <w:highlight w:val="none"/>
          <w:lang w:val="en-US" w:eastAsia="zh-CN"/>
        </w:rPr>
        <w:t xml:space="preserve">影响</w:t>
      </w:r>
      <w:r>
        <w:rPr>
          <w:rFonts w:hint="eastAsia" w:ascii="宋体" w:hAnsi="宋体" w:eastAsia="Arial" w:cs="宋体"/>
          <w:b w:val="0"/>
          <w:bCs w:val="0"/>
          <w:color w:val="auto"/>
          <w:sz w:val="24"/>
          <w:szCs w:val="20"/>
          <w:highlight w:val="none"/>
        </w:rPr>
        <w:t xml:space="preserve">的因素，为</w:t>
      </w:r>
      <w:r>
        <w:rPr>
          <w:rFonts w:hint="eastAsia" w:ascii="宋体" w:hAnsi="宋体" w:eastAsia="宋体" w:cs="宋体"/>
          <w:b w:val="0"/>
          <w:bCs w:val="0"/>
          <w:color w:val="auto"/>
          <w:sz w:val="24"/>
          <w:szCs w:val="20"/>
          <w:highlight w:val="none"/>
          <w:lang w:val="en-US" w:eastAsia="zh-CN"/>
        </w:rPr>
        <w:t xml:space="preserve">实施</w:t>
      </w:r>
      <w:r>
        <w:rPr>
          <w:rFonts w:hint="eastAsia" w:ascii="宋体" w:hAnsi="宋体" w:eastAsia="Arial" w:cs="宋体"/>
          <w:b w:val="0"/>
          <w:bCs w:val="0"/>
          <w:color w:val="auto"/>
          <w:sz w:val="24"/>
          <w:szCs w:val="20"/>
          <w:highlight w:val="none"/>
        </w:rPr>
        <w:t xml:space="preserve">提供针对性依据。</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w:t>
      </w:r>
      <w:r>
        <w:rPr>
          <w:rFonts w:hint="eastAsia" w:ascii="宋体" w:hAnsi="宋体" w:cs="宋体"/>
          <w:b w:val="0"/>
          <w:bCs w:val="0"/>
          <w:color w:val="auto"/>
          <w:sz w:val="24"/>
          <w:szCs w:val="20"/>
          <w:highlight w:val="none"/>
        </w:rPr>
        <w:t xml:space="preserve">3</w:t>
      </w:r>
      <w:r>
        <w:rPr>
          <w:rFonts w:hint="eastAsia" w:ascii="宋体" w:hAnsi="宋体" w:eastAsia="Arial" w:cs="宋体"/>
          <w:b w:val="0"/>
          <w:bCs w:val="0"/>
          <w:color w:val="auto"/>
          <w:sz w:val="24"/>
          <w:szCs w:val="20"/>
          <w:highlight w:val="none"/>
        </w:rPr>
        <w:t xml:space="preserve">）</w:t>
      </w:r>
      <w:r>
        <w:rPr>
          <w:rFonts w:hint="eastAsia" w:ascii="宋体" w:hAnsi="宋体" w:cs="宋体"/>
          <w:b w:val="0"/>
          <w:bCs w:val="0"/>
          <w:color w:val="auto"/>
          <w:sz w:val="24"/>
          <w:szCs w:val="20"/>
          <w:highlight w:val="none"/>
          <w:lang w:val="en-US" w:eastAsia="zh-CN"/>
        </w:rPr>
        <w:t xml:space="preserve">建设</w:t>
      </w:r>
      <w:r>
        <w:rPr>
          <w:rFonts w:hint="eastAsia" w:ascii="宋体" w:hAnsi="宋体" w:eastAsia="Arial" w:cs="宋体"/>
          <w:b w:val="0"/>
          <w:bCs w:val="0"/>
          <w:color w:val="auto"/>
          <w:sz w:val="24"/>
          <w:szCs w:val="20"/>
          <w:highlight w:val="none"/>
        </w:rPr>
        <w:t xml:space="preserve">符合</w:t>
      </w:r>
      <w:r>
        <w:rPr>
          <w:rFonts w:hint="eastAsia" w:ascii="宋体" w:hAnsi="宋体" w:cs="宋体"/>
          <w:b w:val="0"/>
          <w:bCs w:val="0"/>
          <w:color w:val="auto"/>
          <w:sz w:val="24"/>
          <w:szCs w:val="20"/>
          <w:highlight w:val="none"/>
          <w:lang w:val="en-US" w:eastAsia="zh-CN"/>
        </w:rPr>
        <w:t xml:space="preserve">医院</w:t>
      </w:r>
      <w:r>
        <w:rPr>
          <w:rFonts w:hint="eastAsia" w:ascii="宋体" w:hAnsi="宋体" w:eastAsia="Arial" w:cs="宋体"/>
          <w:b w:val="0"/>
          <w:bCs w:val="0"/>
          <w:color w:val="auto"/>
          <w:sz w:val="24"/>
          <w:szCs w:val="20"/>
          <w:highlight w:val="none"/>
        </w:rPr>
        <w:t xml:space="preserve">规模</w:t>
      </w:r>
      <w:r>
        <w:rPr>
          <w:rFonts w:hint="eastAsia" w:ascii="宋体" w:hAnsi="宋体" w:cs="宋体"/>
          <w:b w:val="0"/>
          <w:bCs w:val="0"/>
          <w:color w:val="auto"/>
          <w:sz w:val="24"/>
          <w:szCs w:val="20"/>
          <w:highlight w:val="none"/>
          <w:lang w:val="en-US" w:eastAsia="zh-CN"/>
        </w:rPr>
        <w:t xml:space="preserve">发展</w:t>
      </w:r>
      <w:r>
        <w:rPr>
          <w:rFonts w:hint="eastAsia" w:ascii="宋体" w:hAnsi="宋体" w:eastAsia="Arial" w:cs="宋体"/>
          <w:b w:val="0"/>
          <w:bCs w:val="0"/>
          <w:color w:val="auto"/>
          <w:sz w:val="24"/>
          <w:szCs w:val="20"/>
          <w:highlight w:val="none"/>
        </w:rPr>
        <w:t xml:space="preserve">与安全要求</w:t>
      </w:r>
      <w:r>
        <w:rPr>
          <w:rFonts w:hint="eastAsia" w:ascii="宋体" w:hAnsi="宋体" w:cs="宋体"/>
          <w:b w:val="0"/>
          <w:bCs w:val="0"/>
          <w:color w:val="auto"/>
          <w:sz w:val="24"/>
          <w:szCs w:val="20"/>
          <w:highlight w:val="none"/>
          <w:lang w:val="en-US" w:eastAsia="zh-CN"/>
        </w:rPr>
        <w:t xml:space="preserve">相匹配</w:t>
      </w:r>
      <w:r>
        <w:rPr>
          <w:rFonts w:hint="eastAsia" w:ascii="宋体" w:hAnsi="宋体" w:eastAsia="Arial" w:cs="宋体"/>
          <w:b w:val="0"/>
          <w:bCs w:val="0"/>
          <w:color w:val="auto"/>
          <w:sz w:val="24"/>
          <w:szCs w:val="20"/>
          <w:highlight w:val="none"/>
        </w:rPr>
        <w:t xml:space="preserve">的架构</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提供机</w:t>
      </w:r>
      <w:r>
        <w:rPr>
          <w:rFonts w:hint="eastAsia" w:ascii="宋体" w:hAnsi="宋体" w:eastAsia="宋体" w:cs="宋体"/>
          <w:color w:val="auto"/>
          <w:sz w:val="24"/>
          <w:highlight w:val="none"/>
          <w:lang w:bidi="ar"/>
        </w:rPr>
        <w:t xml:space="preserve">柜内设备规划</w:t>
      </w:r>
      <w:r>
        <w:rPr>
          <w:rFonts w:hint="eastAsia" w:ascii="宋体" w:hAnsi="宋体" w:eastAsia="宋体" w:cs="宋体"/>
          <w:color w:val="auto"/>
          <w:sz w:val="24"/>
          <w:highlight w:val="none"/>
          <w:lang w:eastAsia="zh-CN" w:bidi="ar"/>
        </w:rPr>
        <w:t xml:space="preserve">。</w:t>
      </w:r>
      <w:r>
        <w:rPr>
          <w:rFonts w:hint="eastAsia" w:ascii="宋体" w:hAnsi="宋体" w:eastAsia="Arial" w:cs="宋体"/>
          <w:b w:val="0"/>
          <w:bCs w:val="0"/>
          <w:color w:val="auto"/>
          <w:sz w:val="24"/>
          <w:szCs w:val="20"/>
          <w:highlight w:val="none"/>
        </w:rPr>
        <w:t xml:space="preserve">完善安全防护机制，涵盖数据加密、访问控制、安全监测、应急响应等方面，保障数据安全与系统稳定运行。</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0"/>
          <w:highlight w:val="none"/>
          <w:lang w:val="en-US" w:eastAsia="zh-CN"/>
        </w:rPr>
        <w:outlineLvl w:val="3"/>
      </w:pPr>
      <w:r>
        <w:rPr>
          <w:rFonts w:hint="eastAsia" w:ascii="宋体" w:hAnsi="宋体" w:cs="宋体"/>
          <w:b w:val="0"/>
          <w:bCs w:val="0"/>
          <w:color w:val="auto"/>
          <w:sz w:val="24"/>
          <w:szCs w:val="20"/>
          <w:highlight w:val="none"/>
        </w:rPr>
        <w:t xml:space="preserve">2.</w:t>
      </w:r>
      <w:r>
        <w:rPr>
          <w:rFonts w:hint="eastAsia" w:ascii="宋体" w:hAnsi="宋体" w:eastAsia="Arial" w:cs="宋体"/>
          <w:b w:val="0"/>
          <w:bCs w:val="0"/>
          <w:color w:val="auto"/>
          <w:sz w:val="24"/>
          <w:szCs w:val="20"/>
          <w:highlight w:val="none"/>
        </w:rPr>
        <w:t xml:space="preserve">组织架构及实施步骤</w:t>
      </w:r>
      <w:r>
        <w:rPr>
          <w:rFonts w:hint="eastAsia" w:ascii="宋体" w:hAnsi="宋体" w:eastAsia="宋体" w:cs="宋体"/>
          <w:b w:val="0"/>
          <w:bCs w:val="0"/>
          <w:color w:val="auto"/>
          <w:sz w:val="24"/>
          <w:szCs w:val="20"/>
          <w:highlight w:val="none"/>
          <w:lang w:val="en-US" w:eastAsia="zh-CN"/>
        </w:rPr>
        <w:t xml:space="preserve"> </w:t>
      </w:r>
      <w:r/>
    </w:p>
    <w:p>
      <w:pPr>
        <w:ind w:firstLine="482"/>
        <w:jc w:val="left"/>
        <w:keepLines w:val="0"/>
        <w:keepNext w:val="0"/>
        <w:pageBreakBefore w:val="0"/>
        <w:spacing w:line="360" w:lineRule="auto"/>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（1）组建包括项目经理、</w:t>
      </w:r>
      <w:r>
        <w:rPr>
          <w:rFonts w:hint="eastAsia" w:ascii="宋体" w:hAnsi="宋体" w:eastAsia="宋体" w:cs="宋体"/>
          <w:b w:val="0"/>
          <w:bCs w:val="0"/>
          <w:color w:val="auto"/>
          <w:sz w:val="24"/>
          <w:szCs w:val="20"/>
          <w:highlight w:val="none"/>
          <w:lang w:val="en-US" w:eastAsia="zh-CN"/>
        </w:rPr>
        <w:t xml:space="preserve">技术负责人、项目</w:t>
      </w:r>
      <w:r>
        <w:rPr>
          <w:rFonts w:hint="eastAsia" w:ascii="宋体" w:hAnsi="宋体" w:eastAsia="Arial" w:cs="宋体"/>
          <w:b w:val="0"/>
          <w:bCs w:val="0"/>
          <w:color w:val="auto"/>
          <w:sz w:val="24"/>
          <w:szCs w:val="20"/>
          <w:highlight w:val="none"/>
        </w:rPr>
        <w:t xml:space="preserve">团队</w:t>
      </w:r>
      <w:r>
        <w:rPr>
          <w:rFonts w:hint="eastAsia" w:ascii="宋体" w:hAnsi="宋体" w:eastAsia="宋体" w:cs="宋体"/>
          <w:b w:val="0"/>
          <w:bCs w:val="0"/>
          <w:color w:val="auto"/>
          <w:sz w:val="24"/>
          <w:szCs w:val="20"/>
          <w:highlight w:val="none"/>
          <w:lang w:val="en-US" w:eastAsia="zh-CN"/>
        </w:rPr>
        <w:t xml:space="preserve">成员</w:t>
      </w:r>
      <w:r>
        <w:rPr>
          <w:rFonts w:hint="eastAsia" w:ascii="宋体" w:hAnsi="宋体" w:eastAsia="Arial" w:cs="宋体"/>
          <w:b w:val="0"/>
          <w:bCs w:val="0"/>
          <w:color w:val="auto"/>
          <w:sz w:val="24"/>
          <w:szCs w:val="20"/>
          <w:highlight w:val="none"/>
        </w:rPr>
        <w:t xml:space="preserve">在内的项目小组</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项目小组成员不少于8人</w:t>
      </w:r>
      <w:r>
        <w:rPr>
          <w:rFonts w:hint="eastAsia" w:ascii="宋体" w:hAnsi="宋体" w:eastAsia="Arial" w:cs="宋体"/>
          <w:b w:val="0"/>
          <w:bCs w:val="0"/>
          <w:color w:val="auto"/>
          <w:sz w:val="24"/>
          <w:szCs w:val="20"/>
          <w:highlight w:val="none"/>
        </w:rPr>
        <w:t xml:space="preserve">，清晰界定各成员职责范围与协作方式，保障沟通顺畅高效</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其中工程建设期间项目经理及技术负责人驻场时间不少于40小时/周</w:t>
      </w:r>
      <w:r>
        <w:rPr>
          <w:rFonts w:hint="eastAsia" w:ascii="宋体" w:hAnsi="宋体" w:eastAsia="Arial" w:cs="宋体"/>
          <w:b w:val="0"/>
          <w:bCs w:val="0"/>
          <w:color w:val="auto"/>
          <w:sz w:val="24"/>
          <w:szCs w:val="20"/>
          <w:highlight w:val="none"/>
        </w:rPr>
        <w:t xml:space="preserve">；</w:t>
      </w:r>
      <w:r/>
    </w:p>
    <w:p>
      <w:pPr>
        <w:ind w:firstLine="482"/>
        <w:jc w:val="left"/>
        <w:keepLines w:val="0"/>
        <w:keepNext w:val="0"/>
        <w:pageBreakBefore w:val="0"/>
        <w:spacing w:line="360" w:lineRule="auto"/>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w:t>
      </w:r>
      <w:r>
        <w:rPr>
          <w:rFonts w:hint="eastAsia" w:ascii="宋体" w:hAnsi="宋体" w:cs="宋体"/>
          <w:b w:val="0"/>
          <w:bCs w:val="0"/>
          <w:color w:val="auto"/>
          <w:sz w:val="24"/>
          <w:szCs w:val="20"/>
          <w:highlight w:val="none"/>
        </w:rPr>
        <w:t xml:space="preserve">2</w:t>
      </w:r>
      <w:r>
        <w:rPr>
          <w:rFonts w:hint="eastAsia" w:ascii="宋体" w:hAnsi="宋体" w:eastAsia="Arial" w:cs="宋体"/>
          <w:b w:val="0"/>
          <w:bCs w:val="0"/>
          <w:color w:val="auto"/>
          <w:sz w:val="24"/>
          <w:szCs w:val="20"/>
          <w:highlight w:val="none"/>
        </w:rPr>
        <w:t xml:space="preserve">）开展多轮测试，包括功能测试验证各项业务能否正常运作、性能测试考察系统响应速度与承载能力、安全测试防范潜在漏洞风险</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高危漏洞修复率为100%，中低危漏洞修复率不低于98%</w:t>
      </w:r>
      <w:r>
        <w:rPr>
          <w:rFonts w:hint="eastAsia" w:ascii="宋体" w:hAnsi="宋体" w:eastAsia="Arial" w:cs="宋体"/>
          <w:b w:val="0"/>
          <w:bCs w:val="0"/>
          <w:color w:val="auto"/>
          <w:sz w:val="24"/>
          <w:szCs w:val="20"/>
          <w:highlight w:val="none"/>
        </w:rPr>
        <w:t xml:space="preserve">，及时记录并整改发现的问题；</w:t>
      </w:r>
      <w:r/>
    </w:p>
    <w:p>
      <w:pPr>
        <w:ind w:firstLine="482"/>
        <w:jc w:val="left"/>
        <w:keepLines w:val="0"/>
        <w:keepNext w:val="0"/>
        <w:pageBreakBefore w:val="0"/>
        <w:spacing w:line="360" w:lineRule="auto"/>
        <w:widowControl/>
        <w:rPr>
          <w:rFonts w:hint="eastAsia"/>
          <w:color w:val="auto"/>
          <w:highlight w:val="none"/>
        </w:rPr>
      </w:pPr>
      <w:r>
        <w:rPr>
          <w:rFonts w:hint="eastAsia" w:ascii="宋体" w:hAnsi="宋体" w:eastAsia="Arial" w:cs="宋体"/>
          <w:b w:val="0"/>
          <w:bCs w:val="0"/>
          <w:color w:val="auto"/>
          <w:sz w:val="24"/>
          <w:szCs w:val="20"/>
          <w:highlight w:val="none"/>
        </w:rPr>
        <w:t xml:space="preserve">（3）试用阶段，收集用户真实反馈意见，</w:t>
      </w:r>
      <w:r>
        <w:rPr>
          <w:rFonts w:hint="eastAsia" w:ascii="宋体" w:hAnsi="宋体" w:eastAsia="宋体" w:cs="宋体"/>
          <w:b w:val="0"/>
          <w:bCs w:val="0"/>
          <w:color w:val="auto"/>
          <w:sz w:val="24"/>
          <w:szCs w:val="20"/>
          <w:highlight w:val="none"/>
          <w:lang w:val="en-US" w:eastAsia="zh-CN"/>
        </w:rPr>
        <w:t xml:space="preserve">反馈意见响应时间不超过24小时，解决方案时间不超过72小时，</w:t>
      </w:r>
      <w:r>
        <w:rPr>
          <w:rFonts w:hint="eastAsia" w:ascii="宋体" w:hAnsi="宋体" w:eastAsia="Arial" w:cs="宋体"/>
          <w:b w:val="0"/>
          <w:bCs w:val="0"/>
          <w:color w:val="auto"/>
          <w:sz w:val="24"/>
          <w:szCs w:val="20"/>
          <w:highlight w:val="none"/>
        </w:rPr>
        <w:t xml:space="preserve">针对性优化完善后全面推广，同步做好技术支持与应急处理准备。</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0"/>
          <w:highlight w:val="none"/>
          <w:lang w:val="en-US" w:eastAsia="zh-CN"/>
        </w:rPr>
        <w:outlineLvl w:val="3"/>
      </w:pPr>
      <w:r>
        <w:rPr>
          <w:rFonts w:hint="eastAsia" w:ascii="宋体" w:hAnsi="宋体" w:cs="宋体"/>
          <w:b w:val="0"/>
          <w:bCs w:val="0"/>
          <w:color w:val="auto"/>
          <w:sz w:val="24"/>
          <w:szCs w:val="20"/>
          <w:highlight w:val="none"/>
          <w:lang w:val="en-US" w:eastAsia="zh-CN"/>
        </w:rPr>
        <w:t xml:space="preserve">3</w:t>
      </w:r>
      <w:r>
        <w:rPr>
          <w:rFonts w:hint="eastAsia" w:ascii="宋体" w:hAnsi="宋体" w:cs="宋体"/>
          <w:b w:val="0"/>
          <w:bCs w:val="0"/>
          <w:color w:val="auto"/>
          <w:sz w:val="24"/>
          <w:szCs w:val="20"/>
          <w:highlight w:val="none"/>
        </w:rPr>
        <w:t xml:space="preserve">.</w:t>
      </w:r>
      <w:r>
        <w:rPr>
          <w:rFonts w:hint="eastAsia" w:ascii="宋体" w:hAnsi="宋体" w:eastAsia="Arial" w:cs="宋体"/>
          <w:b w:val="0"/>
          <w:bCs w:val="0"/>
          <w:color w:val="auto"/>
          <w:sz w:val="24"/>
          <w:szCs w:val="20"/>
          <w:highlight w:val="none"/>
        </w:rPr>
        <w:t xml:space="preserve">项目实施计划及时间进度安排</w:t>
      </w:r>
      <w:r>
        <w:rPr>
          <w:rFonts w:hint="eastAsia" w:ascii="宋体" w:hAnsi="宋体" w:eastAsia="宋体" w:cs="宋体"/>
          <w:b w:val="0"/>
          <w:bCs w:val="0"/>
          <w:color w:val="auto"/>
          <w:sz w:val="24"/>
          <w:szCs w:val="20"/>
          <w:highlight w:val="none"/>
          <w:lang w:val="en-US" w:eastAsia="zh-CN"/>
        </w:rPr>
        <w:t xml:space="preserve"> </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（1）将项目分解为需求调研、设计开发、测试优化、试点运行、正式上线等阶段任务，明确各阶段主要工作内容、交付成果及责任人。</w:t>
      </w:r>
      <w:r/>
    </w:p>
    <w:p>
      <w:pPr>
        <w:ind w:firstLine="482"/>
        <w:jc w:val="left"/>
        <w:keepLines w:val="0"/>
        <w:keepNext w:val="0"/>
        <w:pageBreakBefore w:val="0"/>
        <w:spacing w:line="360" w:lineRule="auto"/>
        <w:widowControl/>
        <w:rPr>
          <w:rFonts w:hint="default" w:ascii="宋体" w:hAnsi="宋体" w:eastAsia="Arial"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rPr>
        <w:t xml:space="preserve">（2）制定详细的甘特图，标注每个任务的起止时间、关键节点里程碑，合理分配资源确</w:t>
      </w:r>
      <w:r>
        <w:rPr>
          <w:rFonts w:hint="eastAsia" w:ascii="宋体" w:hAnsi="宋体" w:eastAsia="Arial" w:cs="宋体"/>
          <w:b w:val="0"/>
          <w:bCs w:val="0"/>
          <w:color w:val="auto"/>
          <w:sz w:val="24"/>
          <w:szCs w:val="20"/>
          <w:highlight w:val="none"/>
          <w:lang w:val="en-US" w:eastAsia="zh-CN"/>
        </w:rPr>
        <w:t xml:space="preserve">保按时推进。关键路径节点准时完成率不低于98%。</w:t>
      </w:r>
      <w:r/>
    </w:p>
    <w:p>
      <w:pPr>
        <w:ind w:firstLine="482"/>
        <w:jc w:val="left"/>
        <w:keepLines w:val="0"/>
        <w:keepNext w:val="0"/>
        <w:pageBreakBefore w:val="0"/>
        <w:spacing w:line="360" w:lineRule="auto"/>
        <w:widowControl/>
        <w:rPr>
          <w:rFonts w:hint="default" w:ascii="宋体" w:hAnsi="宋体" w:eastAsia="Arial"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lang w:val="en-US" w:eastAsia="zh-CN"/>
        </w:rPr>
        <w:t xml:space="preserve">（3）确立以功能完整性、用户满意度为主要维度的验收标准（核心功能完整性不低于98%，用户满意度不低于90%），组织多方参与验收工作，先进行内部预验收自查整改，再申请开展正式验收评审。</w:t>
      </w:r>
      <w:r/>
    </w:p>
    <w:p>
      <w:pPr>
        <w:ind w:firstLine="482"/>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②投标人应根据本项目要求及特点，制定相应的培训方案，至少包含以下内容：</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1.培训目的</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明确目标导向：清晰阐述通过培训期望达成的具体成果，如使用户熟练掌握系统操作、管理人员高效进行系统运维管理等，且目标应紧密围绕项目整体功能实现与就业创业服务价值发挥，同时培训目标需紧密契合项目内容。 确保参训人员独立上机考核</w:t>
      </w:r>
      <w:r>
        <w:rPr>
          <w:rFonts w:hint="eastAsia" w:ascii="宋体" w:hAnsi="宋体" w:eastAsia="宋体" w:cs="宋体"/>
          <w:b w:val="0"/>
          <w:bCs w:val="0"/>
          <w:color w:val="auto"/>
          <w:sz w:val="24"/>
          <w:szCs w:val="20"/>
          <w:highlight w:val="none"/>
          <w:lang w:val="en-US" w:eastAsia="zh-CN"/>
        </w:rPr>
        <w:t xml:space="preserve">通过率不低于95%</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Arial" w:cs="宋体"/>
          <w:b w:val="0"/>
          <w:bCs w:val="0"/>
          <w:color w:val="auto"/>
          <w:sz w:val="24"/>
          <w:szCs w:val="20"/>
          <w:highlight w:val="none"/>
        </w:rPr>
        <w:t xml:space="preserve">运维人员系统故障自主排查解决能力提升50%</w:t>
      </w:r>
      <w:r>
        <w:rPr>
          <w:rFonts w:hint="eastAsia" w:ascii="宋体" w:hAnsi="宋体" w:eastAsia="宋体" w:cs="宋体"/>
          <w:b w:val="0"/>
          <w:bCs w:val="0"/>
          <w:color w:val="auto"/>
          <w:sz w:val="24"/>
          <w:szCs w:val="20"/>
          <w:highlight w:val="none"/>
          <w:lang w:val="en-US" w:eastAsia="zh-CN"/>
        </w:rPr>
        <w:t xml:space="preserve">以上</w:t>
      </w:r>
      <w:r>
        <w:rPr>
          <w:rFonts w:hint="eastAsia" w:ascii="宋体" w:hAnsi="宋体" w:eastAsia="Arial" w:cs="宋体"/>
          <w:b w:val="0"/>
          <w:bCs w:val="0"/>
          <w:color w:val="auto"/>
          <w:sz w:val="24"/>
          <w:szCs w:val="20"/>
          <w:highlight w:val="none"/>
        </w:rPr>
        <w:t xml:space="preserve">。</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2.培训服务原则</w:t>
      </w:r>
      <w:r/>
    </w:p>
    <w:p>
      <w:pPr>
        <w:ind w:firstLine="482"/>
        <w:jc w:val="left"/>
        <w:keepLines w:val="0"/>
        <w:keepNext w:val="0"/>
        <w:pageBreakBefore w:val="0"/>
        <w:spacing w:line="360" w:lineRule="auto"/>
        <w:widowControl/>
        <w:rPr>
          <w:rFonts w:hint="eastAsia" w:ascii="宋体" w:hAnsi="宋体" w:eastAsia="宋体" w:cs="宋体"/>
          <w:b w:val="0"/>
          <w:bCs w:val="0"/>
          <w:color w:val="auto"/>
          <w:sz w:val="24"/>
          <w:szCs w:val="20"/>
          <w:highlight w:val="none"/>
          <w:lang w:eastAsia="zh-CN"/>
        </w:rPr>
      </w:pPr>
      <w:r>
        <w:rPr>
          <w:rFonts w:hint="eastAsia" w:ascii="宋体" w:hAnsi="宋体" w:eastAsia="Arial" w:cs="宋体"/>
          <w:b w:val="0"/>
          <w:bCs w:val="0"/>
          <w:color w:val="auto"/>
          <w:sz w:val="24"/>
          <w:szCs w:val="20"/>
          <w:highlight w:val="none"/>
        </w:rPr>
        <w:t xml:space="preserve">系统性规划：构建层次分明、循序渐进的培训体系，保障知识体系的连贯性与完整性。</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3.培训质量保障</w:t>
      </w:r>
      <w:r/>
    </w:p>
    <w:p>
      <w:pPr>
        <w:ind w:firstLine="482"/>
        <w:jc w:val="left"/>
        <w:keepLines w:val="0"/>
        <w:keepNext w:val="0"/>
        <w:pageBreakBefore w:val="0"/>
        <w:spacing w:line="360" w:lineRule="auto"/>
        <w:widowControl/>
        <w:rPr>
          <w:rFonts w:hint="eastAsia" w:ascii="宋体" w:hAnsi="宋体" w:eastAsia="宋体"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培训质量保障需包括课程设计保障、培训师资保障和多维评估等保障措施，保证整个项目培训质量能达到个人成长和医院信息化发展的目的。</w:t>
      </w:r>
      <w:r>
        <w:rPr>
          <w:rFonts w:hint="eastAsia" w:ascii="宋体" w:hAnsi="宋体" w:eastAsia="宋体" w:cs="宋体"/>
          <w:b w:val="0"/>
          <w:bCs w:val="0"/>
          <w:color w:val="auto"/>
          <w:sz w:val="24"/>
          <w:szCs w:val="20"/>
          <w:highlight w:val="none"/>
          <w:lang w:val="en-US" w:eastAsia="zh-CN"/>
        </w:rPr>
        <w:t xml:space="preserve">要求</w:t>
      </w:r>
      <w:r>
        <w:rPr>
          <w:rFonts w:hint="eastAsia" w:ascii="宋体" w:hAnsi="宋体" w:eastAsia="宋体" w:cs="宋体"/>
          <w:b w:val="0"/>
          <w:bCs w:val="0"/>
          <w:color w:val="auto"/>
          <w:sz w:val="24"/>
          <w:szCs w:val="20"/>
          <w:highlight w:val="none"/>
        </w:rPr>
        <w:t xml:space="preserve">建立覆盖行政人员、信息科运维人员</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宋体" w:cs="宋体"/>
          <w:b w:val="0"/>
          <w:bCs w:val="0"/>
          <w:color w:val="auto"/>
          <w:sz w:val="24"/>
          <w:szCs w:val="20"/>
          <w:highlight w:val="none"/>
          <w:lang w:val="en-US" w:eastAsia="zh-CN"/>
        </w:rPr>
        <w:t xml:space="preserve">一般人员</w:t>
      </w:r>
      <w:r>
        <w:rPr>
          <w:rFonts w:hint="eastAsia" w:ascii="宋体" w:hAnsi="宋体" w:eastAsia="宋体" w:cs="宋体"/>
          <w:b w:val="0"/>
          <w:bCs w:val="0"/>
          <w:color w:val="auto"/>
          <w:sz w:val="24"/>
          <w:szCs w:val="20"/>
          <w:highlight w:val="none"/>
        </w:rPr>
        <w:t xml:space="preserve">的</w:t>
      </w:r>
      <w:r>
        <w:rPr>
          <w:rFonts w:hint="eastAsia" w:ascii="宋体" w:hAnsi="宋体" w:eastAsia="宋体" w:cs="宋体"/>
          <w:b w:val="0"/>
          <w:bCs w:val="0"/>
          <w:color w:val="auto"/>
          <w:sz w:val="24"/>
          <w:szCs w:val="20"/>
          <w:highlight w:val="none"/>
          <w:lang w:val="en-US" w:eastAsia="zh-CN"/>
        </w:rPr>
        <w:t xml:space="preserve">3</w:t>
      </w:r>
      <w:r>
        <w:rPr>
          <w:rFonts w:hint="eastAsia" w:ascii="宋体" w:hAnsi="宋体" w:eastAsia="宋体" w:cs="宋体"/>
          <w:b w:val="0"/>
          <w:bCs w:val="0"/>
          <w:color w:val="auto"/>
          <w:sz w:val="24"/>
          <w:szCs w:val="20"/>
          <w:highlight w:val="none"/>
        </w:rPr>
        <w:t xml:space="preserve">级培训体系</w:t>
      </w:r>
      <w:r>
        <w:rPr>
          <w:rFonts w:hint="eastAsia" w:ascii="宋体" w:hAnsi="宋体" w:eastAsia="宋体" w:cs="宋体"/>
          <w:b w:val="0"/>
          <w:bCs w:val="0"/>
          <w:color w:val="auto"/>
          <w:sz w:val="24"/>
          <w:szCs w:val="20"/>
          <w:highlight w:val="none"/>
          <w:lang w:eastAsia="zh-CN"/>
        </w:rPr>
        <w:t xml:space="preserve">，编制通用版、高级管理版、运维技术版共3套差异化教材，确保知识体系完整覆盖。</w:t>
      </w:r>
      <w:r>
        <w:rPr>
          <w:rFonts w:hint="eastAsia" w:ascii="宋体" w:hAnsi="宋体" w:eastAsia="宋体" w:cs="宋体"/>
          <w:b w:val="0"/>
          <w:bCs w:val="0"/>
          <w:color w:val="auto"/>
          <w:sz w:val="24"/>
          <w:szCs w:val="20"/>
          <w:highlight w:val="none"/>
          <w:lang w:val="en-US" w:eastAsia="zh-CN"/>
        </w:rPr>
        <w:t xml:space="preserve">要求</w:t>
      </w:r>
      <w:r>
        <w:rPr>
          <w:rFonts w:hint="eastAsia" w:ascii="宋体" w:hAnsi="宋体" w:eastAsia="宋体" w:cs="宋体"/>
          <w:b w:val="0"/>
          <w:bCs w:val="0"/>
          <w:color w:val="auto"/>
          <w:sz w:val="24"/>
          <w:szCs w:val="20"/>
          <w:highlight w:val="none"/>
        </w:rPr>
        <w:t xml:space="preserve">指派具有5年以上</w:t>
      </w:r>
      <w:r>
        <w:rPr>
          <w:rFonts w:hint="eastAsia" w:ascii="宋体" w:hAnsi="宋体" w:eastAsia="宋体" w:cs="宋体"/>
          <w:b w:val="0"/>
          <w:bCs w:val="0"/>
          <w:color w:val="auto"/>
          <w:sz w:val="24"/>
          <w:szCs w:val="20"/>
          <w:highlight w:val="none"/>
          <w:lang w:val="en-US" w:eastAsia="zh-CN"/>
        </w:rPr>
        <w:t xml:space="preserve">工作</w:t>
      </w:r>
      <w:r>
        <w:rPr>
          <w:rFonts w:hint="eastAsia" w:ascii="宋体" w:hAnsi="宋体" w:eastAsia="宋体" w:cs="宋体"/>
          <w:b w:val="0"/>
          <w:bCs w:val="0"/>
          <w:color w:val="auto"/>
          <w:sz w:val="24"/>
          <w:szCs w:val="20"/>
          <w:highlight w:val="none"/>
        </w:rPr>
        <w:t xml:space="preserve">经验的资深讲师授课，高级认证讲师占比不低于60%。</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4.培训时间计划</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培训时间计划需包括时长控制、时段选择、频率安排以及差异化场景的时间配置，保证整个培训时间计划的完整性，涵盖训前、训中、训后阶段。</w:t>
      </w:r>
      <w:r>
        <w:rPr>
          <w:rFonts w:hint="eastAsia" w:ascii="宋体" w:hAnsi="宋体" w:eastAsia="宋体" w:cs="宋体"/>
          <w:b w:val="0"/>
          <w:bCs w:val="0"/>
          <w:color w:val="auto"/>
          <w:sz w:val="24"/>
          <w:szCs w:val="20"/>
          <w:highlight w:val="none"/>
          <w:lang w:val="en-US" w:eastAsia="zh-CN"/>
        </w:rPr>
        <w:t xml:space="preserve">要求</w:t>
      </w:r>
      <w:r>
        <w:rPr>
          <w:rFonts w:hint="eastAsia" w:ascii="宋体" w:hAnsi="宋体" w:eastAsia="Arial" w:cs="宋体"/>
          <w:b w:val="0"/>
          <w:bCs w:val="0"/>
          <w:color w:val="auto"/>
          <w:sz w:val="24"/>
          <w:szCs w:val="20"/>
          <w:highlight w:val="none"/>
        </w:rPr>
        <w:t xml:space="preserve">上线前集中培训不少于16学时，上线后跟踪辅导2周</w:t>
      </w:r>
      <w:r>
        <w:rPr>
          <w:rFonts w:hint="eastAsia" w:ascii="宋体" w:hAnsi="宋体" w:eastAsia="宋体" w:cs="宋体"/>
          <w:b w:val="0"/>
          <w:bCs w:val="0"/>
          <w:color w:val="auto"/>
          <w:sz w:val="24"/>
          <w:szCs w:val="20"/>
          <w:highlight w:val="none"/>
          <w:lang w:eastAsia="zh-CN"/>
        </w:rPr>
        <w:t xml:space="preserve">。</w:t>
      </w:r>
      <w:r>
        <w:rPr>
          <w:rFonts w:hint="eastAsia" w:ascii="宋体" w:hAnsi="宋体" w:eastAsia="Arial" w:cs="宋体"/>
          <w:b w:val="0"/>
          <w:bCs w:val="0"/>
          <w:color w:val="auto"/>
          <w:sz w:val="24"/>
          <w:szCs w:val="20"/>
          <w:highlight w:val="none"/>
        </w:rPr>
        <w:t xml:space="preserve">确保</w:t>
      </w:r>
      <w:r>
        <w:rPr>
          <w:rFonts w:hint="eastAsia" w:ascii="宋体" w:hAnsi="宋体" w:eastAsia="宋体" w:cs="宋体"/>
          <w:b w:val="0"/>
          <w:bCs w:val="0"/>
          <w:color w:val="auto"/>
          <w:sz w:val="24"/>
          <w:szCs w:val="20"/>
          <w:highlight w:val="none"/>
          <w:lang w:val="en-US" w:eastAsia="zh-CN"/>
        </w:rPr>
        <w:t xml:space="preserve">运维人员</w:t>
      </w:r>
      <w:r>
        <w:rPr>
          <w:rFonts w:hint="eastAsia" w:ascii="宋体" w:hAnsi="宋体" w:eastAsia="Arial" w:cs="宋体"/>
          <w:b w:val="0"/>
          <w:bCs w:val="0"/>
          <w:color w:val="auto"/>
          <w:sz w:val="24"/>
          <w:szCs w:val="20"/>
          <w:highlight w:val="none"/>
        </w:rPr>
        <w:t xml:space="preserve">到课率100%，</w:t>
      </w:r>
      <w:r>
        <w:rPr>
          <w:rFonts w:hint="eastAsia" w:ascii="宋体" w:hAnsi="宋体" w:eastAsia="宋体" w:cs="宋体"/>
          <w:b w:val="0"/>
          <w:bCs w:val="0"/>
          <w:color w:val="auto"/>
          <w:sz w:val="24"/>
          <w:szCs w:val="20"/>
          <w:highlight w:val="none"/>
          <w:lang w:val="en-US" w:eastAsia="zh-CN"/>
        </w:rPr>
        <w:t xml:space="preserve">其它人员</w:t>
      </w:r>
      <w:r>
        <w:rPr>
          <w:rFonts w:hint="eastAsia" w:ascii="宋体" w:hAnsi="宋体" w:eastAsia="Arial" w:cs="宋体"/>
          <w:b w:val="0"/>
          <w:bCs w:val="0"/>
          <w:color w:val="auto"/>
          <w:sz w:val="24"/>
          <w:szCs w:val="20"/>
          <w:highlight w:val="none"/>
        </w:rPr>
        <w:t xml:space="preserve">到课率不低于90%。</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5.培训内容</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平台功能实操：详细演示各项系统核心功能的操作流程，让用户亲手实践直至熟练运用。</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常见问题答疑库建设：整理汇总过往培训及试用过程中出现的高频问题，形成详细的答疑手册并实时更新，供用户随时查阅参考，快速解决遇到的问题。</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lang w:val="en-US" w:eastAsia="zh-CN"/>
        </w:rPr>
        <w:t xml:space="preserve">要求实操课程占总课时的60%以上；建立包含不少于100个高频问题的答疑知识库（FAQ），问题解决方案覆盖率达85%以上。</w:t>
      </w:r>
      <w:r/>
    </w:p>
    <w:p>
      <w:pPr>
        <w:ind w:firstLine="482"/>
        <w:jc w:val="left"/>
        <w:keepLines w:val="0"/>
        <w:keepNext w:val="0"/>
        <w:pageBreakBefore w:val="0"/>
        <w:spacing w:line="360" w:lineRule="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③投标人应根据本项目服务要求，制定售后服务要求方案，至少包含以下内容：</w:t>
      </w:r>
      <w:r/>
    </w:p>
    <w:p>
      <w:pPr>
        <w:ind w:firstLine="482"/>
        <w:jc w:val="left"/>
        <w:keepLines w:val="0"/>
        <w:keepNext w:val="0"/>
        <w:pageBreakBefore w:val="0"/>
        <w:spacing w:line="360" w:lineRule="auto"/>
        <w:widowControl/>
        <w:rPr>
          <w:rFonts w:ascii="宋体" w:hAnsi="宋体" w:eastAsia="Arial" w:cs="宋体"/>
          <w:b w:val="0"/>
          <w:bCs w:val="0"/>
          <w:color w:val="auto"/>
          <w:sz w:val="24"/>
          <w:szCs w:val="20"/>
          <w:highlight w:val="none"/>
        </w:rPr>
        <w:outlineLvl w:val="3"/>
      </w:pPr>
      <w:r>
        <w:rPr>
          <w:rFonts w:hint="eastAsia" w:ascii="宋体" w:hAnsi="宋体" w:eastAsia="Arial" w:cs="宋体"/>
          <w:b w:val="0"/>
          <w:bCs w:val="0"/>
          <w:color w:val="auto"/>
          <w:sz w:val="24"/>
          <w:szCs w:val="20"/>
          <w:highlight w:val="none"/>
        </w:rPr>
        <w:t xml:space="preserve">1.服务目标</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高效响应保障：确保用户反馈的问题能在最短时间内得到响应，设定明确的响应时间标准，最大限度减少对</w:t>
      </w:r>
      <w:r>
        <w:rPr>
          <w:rFonts w:hint="eastAsia" w:ascii="宋体" w:hAnsi="宋体" w:cs="宋体"/>
          <w:b w:val="0"/>
          <w:bCs w:val="0"/>
          <w:color w:val="auto"/>
          <w:sz w:val="24"/>
          <w:szCs w:val="20"/>
          <w:highlight w:val="none"/>
        </w:rPr>
        <w:t xml:space="preserve">业务</w:t>
      </w:r>
      <w:r>
        <w:rPr>
          <w:rFonts w:hint="eastAsia" w:ascii="宋体" w:hAnsi="宋体" w:eastAsia="Arial" w:cs="宋体"/>
          <w:b w:val="0"/>
          <w:bCs w:val="0"/>
          <w:color w:val="auto"/>
          <w:sz w:val="24"/>
          <w:szCs w:val="20"/>
          <w:highlight w:val="none"/>
        </w:rPr>
        <w:t xml:space="preserve">工作的影响。</w:t>
      </w:r>
      <w:r/>
    </w:p>
    <w:p>
      <w:pPr>
        <w:pStyle w:val="922"/>
        <w:ind w:firstLine="420"/>
        <w:keepLines w:val="0"/>
        <w:keepNext w:val="0"/>
        <w:pageBreakBefore w:val="0"/>
        <w:spacing w:line="360" w:lineRule="auto"/>
        <w:widowControl w:val="off"/>
        <w:rPr>
          <w:rFonts w:hint="eastAsia" w:eastAsia="宋体"/>
          <w:color w:val="auto"/>
          <w:lang w:val="en-US" w:eastAsia="zh-CN"/>
        </w:rPr>
      </w:pPr>
      <w:r>
        <w:rPr>
          <w:rFonts w:hint="eastAsia" w:ascii="宋体" w:hAnsi="宋体" w:eastAsia="宋体" w:cs="宋体"/>
          <w:b w:val="0"/>
          <w:bCs w:val="0"/>
          <w:color w:val="auto"/>
          <w:sz w:val="24"/>
          <w:szCs w:val="20"/>
          <w:highlight w:val="none"/>
          <w:lang w:val="en-US" w:eastAsia="zh-CN"/>
        </w:rPr>
        <w:t xml:space="preserve">要求提供7×24小时保障服务，并根据故障响应级别提供分级保障服务。特级（宕机）：5分钟内响应，1小时内恢复；一级（严重）：15分钟内响应，4小时内解决；二级（一般）：30分钟内响应，12小时内解决。</w:t>
      </w:r>
      <w:r/>
    </w:p>
    <w:p>
      <w:pPr>
        <w:ind w:firstLine="480"/>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outlineLvl w:val="3"/>
      </w:pPr>
      <w:r>
        <w:rPr>
          <w:rFonts w:hint="eastAsia" w:ascii="宋体" w:hAnsi="宋体" w:cs="宋体"/>
          <w:b w:val="0"/>
          <w:bCs w:val="0"/>
          <w:color w:val="auto"/>
          <w:sz w:val="24"/>
          <w:szCs w:val="20"/>
          <w:highlight w:val="none"/>
        </w:rPr>
        <w:t xml:space="preserve">2.</w:t>
      </w:r>
      <w:r>
        <w:rPr>
          <w:rFonts w:hint="eastAsia" w:ascii="宋体" w:hAnsi="宋体" w:eastAsia="Arial" w:cs="宋体"/>
          <w:b w:val="0"/>
          <w:bCs w:val="0"/>
          <w:color w:val="auto"/>
          <w:sz w:val="24"/>
          <w:szCs w:val="20"/>
          <w:highlight w:val="none"/>
        </w:rPr>
        <w:t xml:space="preserve">服务内容</w:t>
      </w:r>
      <w:r/>
    </w:p>
    <w:p>
      <w:pPr>
        <w:ind w:firstLine="482"/>
        <w:jc w:val="left"/>
        <w:keepLines w:val="0"/>
        <w:keepNext w:val="0"/>
        <w:pageBreakBefore w:val="0"/>
        <w:spacing w:line="360" w:lineRule="auto"/>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技术支持全面覆盖：提供7×24小时在线技术咨询渠道，及时解答关于</w:t>
      </w:r>
      <w:r>
        <w:rPr>
          <w:rFonts w:hint="eastAsia" w:ascii="宋体" w:hAnsi="宋体" w:cs="宋体"/>
          <w:b w:val="0"/>
          <w:bCs w:val="0"/>
          <w:color w:val="auto"/>
          <w:sz w:val="24"/>
          <w:szCs w:val="20"/>
          <w:highlight w:val="none"/>
          <w:lang w:val="en-US" w:eastAsia="zh-CN"/>
        </w:rPr>
        <w:t xml:space="preserve">系统</w:t>
      </w:r>
      <w:r>
        <w:rPr>
          <w:rFonts w:hint="eastAsia" w:ascii="宋体" w:hAnsi="宋体" w:eastAsia="Arial" w:cs="宋体"/>
          <w:b w:val="0"/>
          <w:bCs w:val="0"/>
          <w:color w:val="auto"/>
          <w:sz w:val="24"/>
          <w:szCs w:val="20"/>
          <w:highlight w:val="none"/>
        </w:rPr>
        <w:t xml:space="preserve">操作使用、故障排查等方面的疑问；针对复杂技术难题，安排工程师远程协助或上门解决。</w:t>
      </w:r>
      <w:r/>
    </w:p>
    <w:p>
      <w:pPr>
        <w:ind w:firstLine="482"/>
        <w:jc w:val="left"/>
        <w:keepLines w:val="0"/>
        <w:keepNext w:val="0"/>
        <w:pageBreakBefore w:val="0"/>
        <w:spacing w:line="360" w:lineRule="auto"/>
        <w:widowControl/>
        <w:rPr>
          <w:rFonts w:hint="eastAsia" w:ascii="宋体" w:hAnsi="宋体" w:eastAsia="宋体"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rPr>
        <w:t xml:space="preserve">系统维护定期巡检：制定详细的系统巡检计划，定期检查服务器运行状态、数据备份完整性、网络稳定性等关键指标，提前发现并处理潜在风险，保障系统安全稳定运行。</w:t>
      </w:r>
      <w:r>
        <w:rPr>
          <w:rFonts w:hint="eastAsia" w:ascii="宋体" w:hAnsi="宋体" w:eastAsia="宋体" w:cs="宋体"/>
          <w:b w:val="0"/>
          <w:bCs w:val="0"/>
          <w:color w:val="auto"/>
          <w:sz w:val="24"/>
          <w:szCs w:val="20"/>
          <w:highlight w:val="none"/>
          <w:lang w:val="en-US" w:eastAsia="zh-CN"/>
        </w:rPr>
        <w:t xml:space="preserve">要求提供不少于每月1次现场深度巡检，每次巡检涵盖服务器、存储、网络、安全等关键指标。每月进行1次数据恢复演练，确保数据备份完整性验证通过率100%。</w:t>
      </w:r>
      <w:r/>
    </w:p>
    <w:p>
      <w:pPr>
        <w:ind w:left="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outlineLvl w:val="3"/>
      </w:pPr>
      <w:r>
        <w:rPr>
          <w:rFonts w:hint="eastAsia" w:ascii="宋体" w:hAnsi="宋体" w:cs="宋体"/>
          <w:b w:val="0"/>
          <w:bCs w:val="0"/>
          <w:color w:val="auto"/>
          <w:sz w:val="24"/>
          <w:szCs w:val="20"/>
          <w:highlight w:val="none"/>
        </w:rPr>
        <w:t xml:space="preserve">3.</w:t>
      </w:r>
      <w:r>
        <w:rPr>
          <w:rFonts w:hint="eastAsia" w:ascii="宋体" w:hAnsi="宋体" w:eastAsia="Arial" w:cs="宋体"/>
          <w:b w:val="0"/>
          <w:bCs w:val="0"/>
          <w:color w:val="auto"/>
          <w:sz w:val="24"/>
          <w:szCs w:val="20"/>
          <w:highlight w:val="none"/>
        </w:rPr>
        <w:t xml:space="preserve">售后服务承诺和保证</w:t>
      </w:r>
      <w:r/>
    </w:p>
    <w:p>
      <w:pPr>
        <w:ind w:firstLine="480"/>
        <w:jc w:val="left"/>
        <w:keepLines w:val="0"/>
        <w:keepNext w:val="0"/>
        <w:pageBreakBefore w:val="0"/>
        <w:spacing w:line="360" w:lineRule="auto"/>
        <w:widowControl/>
        <w:rPr>
          <w:rFonts w:hint="eastAsia" w:ascii="宋体" w:hAnsi="宋体" w:cs="宋体" w:eastAsiaTheme="minorEastAsia"/>
          <w:b w:val="0"/>
          <w:bCs w:val="0"/>
          <w:color w:val="auto"/>
          <w:sz w:val="24"/>
          <w:szCs w:val="20"/>
          <w:highlight w:val="none"/>
          <w:lang w:val="en-US" w:eastAsia="zh-CN"/>
        </w:rPr>
        <w:outlineLvl w:val="3"/>
      </w:pPr>
      <w:r>
        <w:rPr>
          <w:rFonts w:hint="eastAsia" w:ascii="宋体" w:hAnsi="宋体" w:eastAsia="Arial" w:cs="宋体"/>
          <w:b w:val="0"/>
          <w:bCs w:val="0"/>
          <w:color w:val="auto"/>
          <w:sz w:val="24"/>
          <w:szCs w:val="20"/>
          <w:highlight w:val="none"/>
        </w:rPr>
        <w:t xml:space="preserve">针对可能出现的重大故障、安全事故等情况，制定完善的应急处置预案，明确应急响应流程、责任分工及恢复措施，定期组织演练，确保在突发状况下能迅速恢复服务</w:t>
      </w:r>
      <w:r>
        <w:rPr>
          <w:rFonts w:hint="eastAsia" w:ascii="宋体" w:hAnsi="宋体" w:cs="宋体"/>
          <w:b w:val="0"/>
          <w:bCs w:val="0"/>
          <w:color w:val="auto"/>
          <w:sz w:val="24"/>
          <w:szCs w:val="20"/>
          <w:highlight w:val="none"/>
        </w:rPr>
        <w:t xml:space="preserve">。</w:t>
      </w:r>
      <w:r>
        <w:rPr>
          <w:rFonts w:hint="eastAsia" w:ascii="宋体" w:hAnsi="宋体" w:cs="宋体"/>
          <w:b w:val="0"/>
          <w:bCs w:val="0"/>
          <w:color w:val="auto"/>
          <w:sz w:val="24"/>
          <w:szCs w:val="20"/>
          <w:highlight w:val="none"/>
          <w:lang w:val="en-US" w:eastAsia="zh-CN"/>
        </w:rPr>
        <w:t xml:space="preserve">要求针对重大故障，承诺RTO（恢复时间目标）≤2小时，RPO（恢复点目标）≤15分钟。每年配合院方组织不少于2次数据中心故障切换应急演练，演练脚本覆盖率达100%。</w:t>
      </w:r>
      <w:r/>
    </w:p>
    <w:p>
      <w:pPr>
        <w:ind w:left="482"/>
        <w:jc w:val="left"/>
        <w:keepLines w:val="0"/>
        <w:keepNext w:val="0"/>
        <w:pageBreakBefore w:val="0"/>
        <w:spacing w:line="360" w:lineRule="auto"/>
        <w:widowControl/>
        <w:rPr>
          <w:rFonts w:hint="eastAsia" w:ascii="宋体" w:hAnsi="宋体" w:eastAsia="Arial" w:cs="宋体"/>
          <w:b w:val="0"/>
          <w:bCs w:val="0"/>
          <w:color w:val="auto"/>
          <w:sz w:val="24"/>
          <w:szCs w:val="20"/>
          <w:highlight w:val="none"/>
        </w:rPr>
        <w:outlineLvl w:val="3"/>
      </w:pPr>
      <w:r>
        <w:rPr>
          <w:rFonts w:hint="eastAsia" w:ascii="宋体" w:hAnsi="宋体" w:cs="宋体"/>
          <w:b w:val="0"/>
          <w:bCs w:val="0"/>
          <w:color w:val="auto"/>
          <w:sz w:val="24"/>
          <w:szCs w:val="20"/>
          <w:highlight w:val="none"/>
        </w:rPr>
        <w:t xml:space="preserve">4.</w:t>
      </w:r>
      <w:r>
        <w:rPr>
          <w:rFonts w:hint="eastAsia" w:ascii="宋体" w:hAnsi="宋体" w:eastAsia="Arial" w:cs="宋体"/>
          <w:b w:val="0"/>
          <w:bCs w:val="0"/>
          <w:color w:val="auto"/>
          <w:sz w:val="24"/>
          <w:szCs w:val="20"/>
          <w:highlight w:val="none"/>
        </w:rPr>
        <w:t xml:space="preserve">售后服务队伍</w:t>
      </w:r>
      <w:r/>
    </w:p>
    <w:p>
      <w:pPr>
        <w:ind w:firstLine="482"/>
        <w:jc w:val="left"/>
        <w:keepLines w:val="0"/>
        <w:keepNext w:val="0"/>
        <w:pageBreakBefore w:val="0"/>
        <w:spacing w:line="360" w:lineRule="auto"/>
        <w:widowControl/>
        <w:rPr>
          <w:rFonts w:ascii="宋体" w:hAnsi="宋体" w:eastAsia="Arial" w:cs="宋体"/>
          <w:b w:val="0"/>
          <w:bCs w:val="0"/>
          <w:color w:val="auto"/>
          <w:sz w:val="24"/>
          <w:szCs w:val="20"/>
          <w:highlight w:val="none"/>
        </w:rPr>
      </w:pPr>
      <w:r>
        <w:rPr>
          <w:rFonts w:hint="eastAsia" w:ascii="宋体" w:hAnsi="宋体" w:eastAsia="Arial" w:cs="宋体"/>
          <w:b w:val="0"/>
          <w:bCs w:val="0"/>
          <w:color w:val="auto"/>
          <w:sz w:val="24"/>
          <w:szCs w:val="20"/>
          <w:highlight w:val="none"/>
        </w:rPr>
        <w:t xml:space="preserve">专业团队组建：打造一支由资深技术专家、</w:t>
      </w:r>
      <w:r>
        <w:rPr>
          <w:rFonts w:hint="eastAsia" w:ascii="宋体" w:hAnsi="宋体" w:cs="宋体"/>
          <w:b w:val="0"/>
          <w:bCs w:val="0"/>
          <w:color w:val="auto"/>
          <w:sz w:val="24"/>
          <w:szCs w:val="20"/>
          <w:highlight w:val="none"/>
        </w:rPr>
        <w:t xml:space="preserve">就业</w:t>
      </w:r>
      <w:r>
        <w:rPr>
          <w:rFonts w:hint="eastAsia" w:ascii="宋体" w:hAnsi="宋体" w:eastAsia="Arial" w:cs="宋体"/>
          <w:b w:val="0"/>
          <w:bCs w:val="0"/>
          <w:color w:val="auto"/>
          <w:sz w:val="24"/>
          <w:szCs w:val="20"/>
          <w:highlight w:val="none"/>
        </w:rPr>
        <w:t xml:space="preserve">行业顾问及客服专员组成的多元化售后服务团队，成员具备丰富的项目实施经验与专业知识背景，能够精准定位并解决问题。组建不少于5人的</w:t>
      </w:r>
      <w:r>
        <w:rPr>
          <w:rFonts w:hint="eastAsia" w:ascii="宋体" w:hAnsi="宋体" w:eastAsia="宋体" w:cs="宋体"/>
          <w:b w:val="0"/>
          <w:bCs w:val="0"/>
          <w:color w:val="auto"/>
          <w:sz w:val="24"/>
          <w:szCs w:val="20"/>
          <w:highlight w:val="none"/>
          <w:lang w:val="en-US" w:eastAsia="zh-CN"/>
        </w:rPr>
        <w:t xml:space="preserve">本地化</w:t>
      </w:r>
      <w:r>
        <w:rPr>
          <w:rFonts w:hint="eastAsia" w:ascii="宋体" w:hAnsi="宋体" w:eastAsia="Arial" w:cs="宋体"/>
          <w:b w:val="0"/>
          <w:bCs w:val="0"/>
          <w:color w:val="auto"/>
          <w:sz w:val="24"/>
          <w:szCs w:val="20"/>
          <w:highlight w:val="none"/>
        </w:rPr>
        <w:t xml:space="preserve">专属服务团队，其中持有HCIE/CISP等高级认证工程师不少于2名。</w:t>
      </w:r>
      <w:r/>
    </w:p>
    <w:p>
      <w:pPr>
        <w:numPr>
          <w:ilvl w:val="0"/>
          <w:numId w:val="0"/>
        </w:numPr>
        <w:jc w:val="left"/>
        <w:keepLines w:val="0"/>
        <w:keepNext w:val="0"/>
        <w:pageBreakBefore w:val="0"/>
        <w:spacing w:line="360" w:lineRule="auto"/>
        <w:widowControl/>
        <w:rPr>
          <w:rFonts w:hint="eastAsia" w:ascii="宋体" w:hAnsi="宋体" w:eastAsia="Arial" w:cs="宋体"/>
          <w:b/>
          <w:bCs/>
          <w:color w:val="auto"/>
          <w:sz w:val="24"/>
          <w:szCs w:val="20"/>
          <w:highlight w:val="none"/>
          <w:lang w:val="en-US" w:eastAsia="zh-CN"/>
        </w:rPr>
        <w:outlineLvl w:val="3"/>
      </w:pPr>
      <w:r>
        <w:rPr>
          <w:rFonts w:hint="eastAsia" w:ascii="宋体" w:hAnsi="宋体" w:eastAsia="Arial" w:cs="宋体"/>
          <w:b/>
          <w:bCs/>
          <w:color w:val="auto"/>
          <w:sz w:val="24"/>
          <w:szCs w:val="20"/>
          <w:highlight w:val="none"/>
          <w:lang w:val="en-US" w:eastAsia="zh-CN"/>
        </w:rPr>
        <w:t xml:space="preserve">六、重点难点分析</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eastAsia="Arial" w:cs="宋体"/>
          <w:b w:val="0"/>
          <w:bCs w:val="0"/>
          <w:color w:val="auto"/>
          <w:sz w:val="24"/>
          <w:szCs w:val="20"/>
          <w:highlight w:val="none"/>
          <w:lang w:val="en-US" w:eastAsia="zh-CN"/>
        </w:rPr>
        <w:t xml:space="preserve">根据招标文件项目需求的内容，投标人提供满足项目需求的重点难点分析方案，方案内容须包括：</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cs="宋体"/>
          <w:bCs/>
          <w:color w:val="auto"/>
          <w:sz w:val="24"/>
          <w:highlight w:val="none"/>
          <w:lang w:bidi="ar"/>
        </w:rPr>
        <w:t xml:space="preserve">①</w:t>
      </w:r>
      <w:r>
        <w:rPr>
          <w:rFonts w:hint="eastAsia" w:ascii="宋体" w:hAnsi="宋体" w:eastAsia="Arial" w:cs="宋体"/>
          <w:b w:val="0"/>
          <w:bCs w:val="0"/>
          <w:color w:val="auto"/>
          <w:sz w:val="24"/>
          <w:szCs w:val="20"/>
          <w:highlight w:val="none"/>
          <w:lang w:val="en-US" w:eastAsia="zh-CN"/>
        </w:rPr>
        <w:t xml:space="preserve">业务系统不停机迁移安全分析（核心业务系统RTO≤15分钟、数据完整性校验达100%、增量同步延迟毫秒级、数据实时同步与一致性、最终切换停机时间≤30秒、异构适配与接口兼容、复杂SQL人工重构覆盖率达100%、数据类型兼容率达100%）。</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cs="宋体"/>
          <w:bCs/>
          <w:color w:val="auto"/>
          <w:sz w:val="24"/>
          <w:highlight w:val="none"/>
          <w:lang w:bidi="ar"/>
        </w:rPr>
        <w:t xml:space="preserve">②</w:t>
      </w:r>
      <w:r>
        <w:rPr>
          <w:rFonts w:hint="eastAsia" w:ascii="宋体" w:hAnsi="宋体" w:eastAsia="Arial" w:cs="宋体"/>
          <w:b w:val="0"/>
          <w:bCs w:val="0"/>
          <w:color w:val="auto"/>
          <w:sz w:val="24"/>
          <w:szCs w:val="20"/>
          <w:highlight w:val="none"/>
          <w:lang w:val="en-US" w:eastAsia="zh-CN"/>
        </w:rPr>
        <w:t xml:space="preserve">不同虚拟化平台虚拟机迁移风险分析（异构虚拟化架构兼容、业务无中断与网络平滑割接、数据一致性与迁移完整性、虚拟机迁移成功率≥</w:t>
      </w:r>
      <w:r>
        <w:rPr>
          <w:rFonts w:hint="default" w:ascii="宋体" w:hAnsi="宋体" w:eastAsia="Arial" w:cs="宋体"/>
          <w:b w:val="0"/>
          <w:bCs w:val="0"/>
          <w:color w:val="auto"/>
          <w:sz w:val="24"/>
          <w:szCs w:val="20"/>
          <w:highlight w:val="none"/>
          <w:lang w:val="en-US" w:eastAsia="zh-CN"/>
        </w:rPr>
        <w:t xml:space="preserve">99.5%</w:t>
      </w:r>
      <w:r>
        <w:rPr>
          <w:rFonts w:hint="eastAsia" w:ascii="宋体" w:hAnsi="宋体" w:eastAsia="Arial" w:cs="宋体"/>
          <w:b w:val="0"/>
          <w:bCs w:val="0"/>
          <w:color w:val="auto"/>
          <w:sz w:val="24"/>
          <w:szCs w:val="20"/>
          <w:highlight w:val="none"/>
          <w:lang w:val="en-US" w:eastAsia="zh-CN"/>
        </w:rPr>
        <w:t xml:space="preserve">、磁盘格式自动转换率达100%、驱动适配与启动修复成功率≥</w:t>
      </w:r>
      <w:r>
        <w:rPr>
          <w:rFonts w:hint="default" w:ascii="宋体" w:hAnsi="宋体" w:eastAsia="Arial" w:cs="宋体"/>
          <w:b w:val="0"/>
          <w:bCs w:val="0"/>
          <w:color w:val="auto"/>
          <w:sz w:val="24"/>
          <w:szCs w:val="20"/>
          <w:highlight w:val="none"/>
          <w:lang w:val="en-US" w:eastAsia="zh-CN"/>
        </w:rPr>
        <w:t xml:space="preserve">99%</w:t>
      </w:r>
      <w:r>
        <w:rPr>
          <w:rFonts w:hint="eastAsia" w:ascii="宋体" w:hAnsi="宋体" w:eastAsia="Arial" w:cs="宋体"/>
          <w:b w:val="0"/>
          <w:bCs w:val="0"/>
          <w:color w:val="auto"/>
          <w:sz w:val="24"/>
          <w:szCs w:val="20"/>
          <w:highlight w:val="none"/>
          <w:lang w:val="en-US" w:eastAsia="zh-CN"/>
        </w:rPr>
        <w:t xml:space="preserve">）。</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cs="宋体"/>
          <w:bCs/>
          <w:color w:val="auto"/>
          <w:sz w:val="24"/>
          <w:highlight w:val="none"/>
          <w:lang w:bidi="ar"/>
        </w:rPr>
        <w:t xml:space="preserve">③</w:t>
      </w:r>
      <w:r>
        <w:rPr>
          <w:rFonts w:hint="eastAsia" w:ascii="宋体" w:hAnsi="宋体" w:eastAsia="Arial" w:cs="宋体"/>
          <w:b w:val="0"/>
          <w:bCs w:val="0"/>
          <w:color w:val="auto"/>
          <w:sz w:val="24"/>
          <w:szCs w:val="20"/>
          <w:highlight w:val="none"/>
          <w:lang w:val="en-US" w:eastAsia="zh-CN"/>
        </w:rPr>
        <w:t xml:space="preserve">业务虚拟机备份及容灾安全分析（业务数据一致性、备份容灾效率、应用一致性快照成功率≥</w:t>
      </w:r>
      <w:r>
        <w:rPr>
          <w:rFonts w:hint="default" w:ascii="宋体" w:hAnsi="宋体" w:eastAsia="Arial" w:cs="宋体"/>
          <w:b w:val="0"/>
          <w:bCs w:val="0"/>
          <w:color w:val="auto"/>
          <w:sz w:val="24"/>
          <w:szCs w:val="20"/>
          <w:highlight w:val="none"/>
          <w:lang w:val="en-US" w:eastAsia="zh-CN"/>
        </w:rPr>
        <w:t xml:space="preserve">99.9%</w:t>
      </w:r>
      <w:r>
        <w:rPr>
          <w:rFonts w:hint="eastAsia" w:ascii="宋体" w:hAnsi="宋体" w:eastAsia="Arial" w:cs="宋体"/>
          <w:b w:val="0"/>
          <w:bCs w:val="0"/>
          <w:color w:val="auto"/>
          <w:sz w:val="24"/>
          <w:szCs w:val="20"/>
          <w:highlight w:val="none"/>
          <w:lang w:val="en-US" w:eastAsia="zh-CN"/>
        </w:rPr>
        <w:t xml:space="preserve">、重删压缩存储空间节省≥</w:t>
      </w:r>
      <w:r>
        <w:rPr>
          <w:rFonts w:hint="default" w:ascii="宋体" w:hAnsi="宋体" w:eastAsia="Arial" w:cs="宋体"/>
          <w:b w:val="0"/>
          <w:bCs w:val="0"/>
          <w:color w:val="auto"/>
          <w:sz w:val="24"/>
          <w:szCs w:val="20"/>
          <w:highlight w:val="none"/>
          <w:lang w:val="en-US" w:eastAsia="zh-CN"/>
        </w:rPr>
        <w:t xml:space="preserve">70%</w:t>
      </w:r>
      <w:r>
        <w:rPr>
          <w:rFonts w:hint="eastAsia" w:ascii="宋体" w:hAnsi="宋体" w:eastAsia="Arial" w:cs="宋体"/>
          <w:b w:val="0"/>
          <w:bCs w:val="0"/>
          <w:color w:val="auto"/>
          <w:sz w:val="24"/>
          <w:szCs w:val="20"/>
          <w:highlight w:val="none"/>
          <w:lang w:val="en-US" w:eastAsia="zh-CN"/>
        </w:rPr>
        <w:t xml:space="preserve">）。</w:t>
      </w:r>
      <w:r/>
    </w:p>
    <w:p>
      <w:pPr>
        <w:ind w:firstLine="482"/>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pPr>
      <w:r>
        <w:rPr>
          <w:rFonts w:hint="eastAsia" w:ascii="宋体" w:hAnsi="宋体" w:cs="宋体"/>
          <w:bCs/>
          <w:color w:val="auto"/>
          <w:sz w:val="24"/>
          <w:highlight w:val="none"/>
          <w:lang w:bidi="ar"/>
        </w:rPr>
        <w:t xml:space="preserve">④</w:t>
      </w:r>
      <w:r>
        <w:rPr>
          <w:rFonts w:hint="eastAsia" w:ascii="宋体" w:hAnsi="宋体" w:eastAsia="Arial" w:cs="宋体"/>
          <w:b w:val="0"/>
          <w:bCs w:val="0"/>
          <w:color w:val="auto"/>
          <w:sz w:val="24"/>
          <w:szCs w:val="20"/>
          <w:highlight w:val="none"/>
          <w:lang w:val="en-US" w:eastAsia="zh-CN"/>
        </w:rPr>
        <w:t xml:space="preserve">核心网络设备替代及利旧设备迁移安全风险分析（网络割接无中断、配置异构兼容、业务与拓扑耦合、热迁移业务中断时间≤</w:t>
      </w:r>
      <w:r>
        <w:rPr>
          <w:rFonts w:hint="default" w:ascii="宋体" w:hAnsi="宋体" w:eastAsia="Arial" w:cs="宋体"/>
          <w:b w:val="0"/>
          <w:bCs w:val="0"/>
          <w:color w:val="auto"/>
          <w:sz w:val="24"/>
          <w:szCs w:val="20"/>
          <w:highlight w:val="none"/>
          <w:lang w:val="en-US" w:eastAsia="zh-CN"/>
        </w:rPr>
        <w:t xml:space="preserve">50毫秒</w:t>
      </w:r>
      <w:r>
        <w:rPr>
          <w:rFonts w:hint="eastAsia" w:ascii="宋体" w:hAnsi="宋体" w:eastAsia="Arial" w:cs="宋体"/>
          <w:b w:val="0"/>
          <w:bCs w:val="0"/>
          <w:color w:val="auto"/>
          <w:sz w:val="24"/>
          <w:szCs w:val="20"/>
          <w:highlight w:val="none"/>
          <w:lang w:val="en-US" w:eastAsia="zh-CN"/>
        </w:rPr>
        <w:t xml:space="preserve">、核心业务中断影响阈值≤</w:t>
      </w:r>
      <w:r>
        <w:rPr>
          <w:rFonts w:hint="default" w:ascii="宋体" w:hAnsi="宋体" w:eastAsia="Arial" w:cs="宋体"/>
          <w:b w:val="0"/>
          <w:bCs w:val="0"/>
          <w:color w:val="auto"/>
          <w:sz w:val="24"/>
          <w:szCs w:val="20"/>
          <w:highlight w:val="none"/>
          <w:lang w:val="en-US" w:eastAsia="zh-CN"/>
        </w:rPr>
        <w:t xml:space="preserve">15分钟且影响范围≤1000用户</w:t>
      </w:r>
      <w:r>
        <w:rPr>
          <w:rFonts w:hint="eastAsia" w:ascii="宋体" w:hAnsi="宋体" w:eastAsia="Arial" w:cs="宋体"/>
          <w:b w:val="0"/>
          <w:bCs w:val="0"/>
          <w:color w:val="auto"/>
          <w:sz w:val="24"/>
          <w:szCs w:val="20"/>
          <w:highlight w:val="none"/>
          <w:lang w:val="en-US" w:eastAsia="zh-CN"/>
        </w:rPr>
        <w:t xml:space="preserve">）。</w:t>
      </w:r>
      <w:r/>
    </w:p>
    <w:p>
      <w:pPr>
        <w:jc w:val="left"/>
        <w:keepLines w:val="0"/>
        <w:keepNext w:val="0"/>
        <w:pageBreakBefore w:val="0"/>
        <w:spacing w:line="360" w:lineRule="auto"/>
        <w:widowControl/>
        <w:rPr>
          <w:rFonts w:hint="eastAsia" w:ascii="宋体" w:hAnsi="宋体" w:eastAsia="Arial" w:cs="宋体"/>
          <w:b w:val="0"/>
          <w:bCs w:val="0"/>
          <w:color w:val="auto"/>
          <w:sz w:val="24"/>
          <w:szCs w:val="20"/>
          <w:highlight w:val="none"/>
          <w:lang w:val="en-US" w:eastAsia="zh-CN"/>
        </w:rPr>
        <w:outlineLvl w:val="1"/>
      </w:pPr>
      <w:r>
        <w:rPr>
          <w:rFonts w:hint="eastAsia" w:ascii="宋体" w:hAnsi="宋体" w:cs="宋体"/>
          <w:bCs/>
          <w:color w:val="auto"/>
          <w:sz w:val="24"/>
          <w:highlight w:val="none"/>
          <w:lang w:bidi="ar"/>
        </w:rPr>
        <w:t xml:space="preserve">⑤</w:t>
      </w:r>
      <w:r>
        <w:rPr>
          <w:rFonts w:hint="eastAsia" w:ascii="宋体" w:hAnsi="宋体" w:eastAsia="Arial" w:cs="宋体"/>
          <w:b w:val="0"/>
          <w:bCs w:val="0"/>
          <w:color w:val="auto"/>
          <w:sz w:val="24"/>
          <w:szCs w:val="20"/>
          <w:highlight w:val="none"/>
          <w:lang w:val="en-US" w:eastAsia="zh-CN"/>
        </w:rPr>
        <w:t xml:space="preserve">光网络硬隔离管道技术与逻辑隔离网络安全对比分析（物理级安全隔离、传输链路可靠性、安全边界管控与运维、最小回环延时≤</w:t>
      </w:r>
      <w:r>
        <w:rPr>
          <w:rFonts w:hint="default" w:ascii="宋体" w:hAnsi="宋体" w:eastAsia="Arial" w:cs="宋体"/>
          <w:b w:val="0"/>
          <w:bCs w:val="0"/>
          <w:color w:val="auto"/>
          <w:sz w:val="24"/>
          <w:szCs w:val="20"/>
          <w:highlight w:val="none"/>
          <w:lang w:val="en-US" w:eastAsia="zh-CN"/>
        </w:rPr>
        <w:t xml:space="preserve">5ms</w:t>
      </w:r>
      <w:r>
        <w:rPr>
          <w:rFonts w:hint="eastAsia" w:ascii="宋体" w:hAnsi="宋体" w:eastAsia="Arial" w:cs="宋体"/>
          <w:b w:val="0"/>
          <w:bCs w:val="0"/>
          <w:color w:val="auto"/>
          <w:sz w:val="24"/>
          <w:szCs w:val="20"/>
          <w:highlight w:val="none"/>
          <w:lang w:val="en-US" w:eastAsia="zh-CN"/>
        </w:rPr>
        <w:t xml:space="preserve">、单条管道故障隔离率达100%</w:t>
      </w:r>
      <w:r>
        <w:rPr>
          <w:rFonts w:hint="default" w:ascii="宋体" w:hAnsi="宋体" w:eastAsia="Arial" w:cs="宋体"/>
          <w:b w:val="0"/>
          <w:bCs w:val="0"/>
          <w:color w:val="auto"/>
          <w:sz w:val="24"/>
          <w:szCs w:val="20"/>
          <w:highlight w:val="none"/>
          <w:lang w:val="en-US" w:eastAsia="zh-CN"/>
        </w:rPr>
        <w:t xml:space="preserve">（不影响其他链路）</w:t>
      </w:r>
      <w:r>
        <w:rPr>
          <w:rFonts w:hint="eastAsia" w:ascii="宋体" w:hAnsi="宋体" w:eastAsia="Arial" w:cs="宋体"/>
          <w:b w:val="0"/>
          <w:bCs w:val="0"/>
          <w:color w:val="auto"/>
          <w:sz w:val="24"/>
          <w:szCs w:val="20"/>
          <w:highlight w:val="none"/>
          <w:lang w:val="en-US" w:eastAsia="zh-CN"/>
        </w:rPr>
        <w:t xml:space="preserve">、加密算法标准不低于G.709国际标准或国密SM4、动态密钥更新频率）。</w:t>
      </w:r>
      <w:r/>
    </w:p>
    <w:p>
      <w:pPr>
        <w:jc w:val="left"/>
        <w:keepLines w:val="0"/>
        <w:keepNext w:val="0"/>
        <w:pageBreakBefore w:val="0"/>
        <w:spacing w:line="360" w:lineRule="auto"/>
        <w:widowControl/>
        <w:rPr>
          <w:rFonts w:ascii="宋体" w:hAnsi="宋体" w:eastAsia="Arial"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七</w:t>
      </w:r>
      <w:r>
        <w:rPr>
          <w:rFonts w:hint="eastAsia" w:ascii="宋体" w:hAnsi="宋体" w:cs="宋体"/>
          <w:b/>
          <w:bCs/>
          <w:color w:val="auto"/>
          <w:sz w:val="24"/>
          <w:szCs w:val="20"/>
          <w:highlight w:val="none"/>
        </w:rPr>
        <w:t xml:space="preserve">、综合</w:t>
      </w:r>
      <w:r>
        <w:rPr>
          <w:rFonts w:hint="eastAsia" w:ascii="宋体" w:hAnsi="宋体" w:eastAsia="Arial" w:cs="宋体"/>
          <w:b/>
          <w:bCs/>
          <w:color w:val="auto"/>
          <w:sz w:val="24"/>
          <w:szCs w:val="20"/>
          <w:highlight w:val="none"/>
        </w:rPr>
        <w:t xml:space="preserve">实力</w:t>
      </w:r>
      <w:r/>
    </w:p>
    <w:p>
      <w:pPr>
        <w:ind w:firstLine="482"/>
        <w:jc w:val="left"/>
        <w:keepLines w:val="0"/>
        <w:keepNext w:val="0"/>
        <w:pageBreakBefore w:val="0"/>
        <w:spacing w:line="360" w:lineRule="auto"/>
        <w:widowControl/>
        <w:rPr>
          <w:rFonts w:hint="eastAsia"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为了择优选择中标单位，体现企业实力，投标人具备</w:t>
      </w:r>
      <w:r>
        <w:rPr>
          <w:rFonts w:hint="eastAsia" w:ascii="宋体" w:hAnsi="宋体" w:eastAsia="宋体" w:cs="宋体"/>
          <w:bCs/>
          <w:color w:val="auto"/>
          <w:sz w:val="24"/>
          <w:highlight w:val="none"/>
          <w:lang w:bidi="ar"/>
        </w:rPr>
        <w:t xml:space="preserve">机电工程施工总承包</w:t>
      </w:r>
      <w:r>
        <w:rPr>
          <w:rFonts w:hint="eastAsia" w:ascii="宋体" w:hAnsi="宋体" w:eastAsia="宋体" w:cs="宋体"/>
          <w:bCs/>
          <w:color w:val="auto"/>
          <w:sz w:val="24"/>
          <w:highlight w:val="none"/>
          <w:lang w:val="en-US" w:eastAsia="zh-CN" w:bidi="ar"/>
        </w:rPr>
        <w:t xml:space="preserve">二</w:t>
      </w:r>
      <w:r>
        <w:rPr>
          <w:rFonts w:hint="eastAsia" w:ascii="宋体" w:hAnsi="宋体" w:eastAsia="宋体" w:cs="宋体"/>
          <w:bCs/>
          <w:color w:val="auto"/>
          <w:sz w:val="24"/>
          <w:highlight w:val="none"/>
          <w:lang w:bidi="ar"/>
        </w:rPr>
        <w:t xml:space="preserve">级</w:t>
      </w:r>
      <w:r>
        <w:rPr>
          <w:rFonts w:hint="eastAsia" w:ascii="宋体" w:hAnsi="宋体" w:eastAsia="宋体" w:cs="宋体"/>
          <w:bCs/>
          <w:color w:val="auto"/>
          <w:sz w:val="24"/>
          <w:highlight w:val="none"/>
          <w:lang w:val="en-US" w:eastAsia="zh-CN" w:bidi="ar"/>
        </w:rPr>
        <w:t xml:space="preserve">或以上资质</w:t>
      </w:r>
      <w:r>
        <w:rPr>
          <w:rFonts w:hint="eastAsia" w:ascii="宋体" w:hAnsi="宋体" w:eastAsia="宋体" w:cs="宋体"/>
          <w:bCs/>
          <w:color w:val="auto"/>
          <w:sz w:val="24"/>
          <w:highlight w:val="none"/>
          <w:lang w:eastAsia="zh-CN" w:bidi="ar"/>
        </w:rPr>
        <w:t xml:space="preserve">、</w:t>
      </w:r>
      <w:r>
        <w:rPr>
          <w:rFonts w:hint="eastAsia" w:ascii="宋体" w:hAnsi="宋体" w:eastAsia="宋体" w:cs="宋体"/>
          <w:bCs/>
          <w:color w:val="auto"/>
          <w:sz w:val="24"/>
          <w:highlight w:val="none"/>
          <w:lang w:val="en-US" w:eastAsia="zh-CN" w:bidi="ar"/>
        </w:rPr>
        <w:t xml:space="preserve">智能化工程专业承包二级或以上资质和有效</w:t>
      </w:r>
      <w:r>
        <w:rPr>
          <w:rFonts w:hint="eastAsia" w:ascii="宋体" w:hAnsi="宋体" w:eastAsia="Arial" w:cs="宋体"/>
          <w:color w:val="auto"/>
          <w:sz w:val="24"/>
          <w:szCs w:val="20"/>
          <w:highlight w:val="none"/>
        </w:rPr>
        <w:t xml:space="preserve">的</w:t>
      </w:r>
      <w:r>
        <w:rPr>
          <w:rFonts w:hint="eastAsia" w:ascii="宋体" w:hAnsi="宋体" w:cs="宋体"/>
          <w:color w:val="auto"/>
          <w:sz w:val="24"/>
          <w:highlight w:val="none"/>
        </w:rPr>
        <w:t xml:space="preserve">质量管理体系认证证书、信息安全管理体系认证证书、信息技术服务体系认证证书</w:t>
      </w:r>
      <w:r>
        <w:rPr>
          <w:rFonts w:hint="eastAsia" w:ascii="宋体" w:hAnsi="宋体" w:eastAsia="Arial" w:cs="宋体"/>
          <w:color w:val="auto"/>
          <w:sz w:val="24"/>
          <w:szCs w:val="20"/>
          <w:highlight w:val="none"/>
        </w:rPr>
        <w:t xml:space="preserve">的优先，有效的是指开标当日有效的证书。</w:t>
      </w:r>
      <w:r/>
    </w:p>
    <w:p>
      <w:pPr>
        <w:jc w:val="left"/>
        <w:keepLines w:val="0"/>
        <w:keepNext w:val="0"/>
        <w:pageBreakBefore w:val="0"/>
        <w:spacing w:line="360" w:lineRule="auto"/>
        <w:widowControl/>
        <w:rPr>
          <w:rFonts w:ascii="宋体" w:hAnsi="宋体" w:eastAsia="Arial"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八</w:t>
      </w:r>
      <w:r>
        <w:rPr>
          <w:rFonts w:hint="eastAsia" w:ascii="宋体" w:hAnsi="宋体" w:cs="宋体"/>
          <w:b/>
          <w:bCs/>
          <w:color w:val="auto"/>
          <w:sz w:val="24"/>
          <w:szCs w:val="20"/>
          <w:highlight w:val="none"/>
        </w:rPr>
        <w:t xml:space="preserve">、</w:t>
      </w:r>
      <w:r>
        <w:rPr>
          <w:rFonts w:hint="eastAsia" w:ascii="宋体" w:hAnsi="宋体" w:eastAsia="Arial" w:cs="宋体"/>
          <w:b/>
          <w:bCs/>
          <w:color w:val="auto"/>
          <w:sz w:val="24"/>
          <w:szCs w:val="20"/>
          <w:highlight w:val="none"/>
        </w:rPr>
        <w:t xml:space="preserve">业绩</w:t>
      </w:r>
      <w:r/>
    </w:p>
    <w:p>
      <w:pPr>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为了确保项目的顺利实施，投标人需具有类似项目的相关承接经验，投标人自202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年1月1日以</w:t>
      </w:r>
      <w:r>
        <w:rPr>
          <w:rFonts w:hint="eastAsia" w:ascii="宋体" w:hAnsi="宋体" w:cs="宋体"/>
          <w:color w:val="auto"/>
          <w:sz w:val="24"/>
          <w:highlight w:val="none"/>
          <w:lang w:val="en-US" w:eastAsia="zh-CN"/>
        </w:rPr>
        <w:t xml:space="preserve">后（以</w:t>
      </w:r>
      <w:r>
        <w:rPr>
          <w:rFonts w:hint="eastAsia" w:ascii="宋体" w:hAnsi="宋体" w:cs="宋体"/>
          <w:color w:val="auto"/>
          <w:sz w:val="24"/>
          <w:highlight w:val="none"/>
        </w:rPr>
        <w:t xml:space="preserve">签订</w:t>
      </w:r>
      <w:r>
        <w:rPr>
          <w:rFonts w:hint="eastAsia" w:ascii="宋体" w:hAnsi="宋体" w:cs="宋体"/>
          <w:color w:val="auto"/>
          <w:sz w:val="24"/>
          <w:highlight w:val="none"/>
          <w:lang w:val="en-US" w:eastAsia="zh-CN"/>
        </w:rPr>
        <w:t xml:space="preserve">的合同</w:t>
      </w:r>
      <w:r>
        <w:rPr>
          <w:rFonts w:hint="eastAsia" w:ascii="宋体" w:hAnsi="宋体" w:cs="宋体"/>
          <w:color w:val="auto"/>
          <w:sz w:val="24"/>
          <w:highlight w:val="none"/>
        </w:rPr>
        <w:t xml:space="preserve">时间为准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承担过类似项目（</w:t>
      </w:r>
      <w:r>
        <w:rPr>
          <w:rFonts w:hint="eastAsia" w:ascii="宋体" w:hAnsi="宋体" w:cs="宋体"/>
          <w:bCs/>
          <w:color w:val="auto"/>
          <w:sz w:val="24"/>
          <w:highlight w:val="none"/>
          <w:lang w:bidi="ar"/>
        </w:rPr>
        <w:t xml:space="preserve">类似项目是指</w:t>
      </w:r>
      <w:r>
        <w:rPr>
          <w:rFonts w:hint="eastAsia" w:ascii="宋体" w:hAnsi="宋体" w:cs="宋体"/>
          <w:bCs/>
          <w:color w:val="auto"/>
          <w:sz w:val="24"/>
          <w:highlight w:val="none"/>
          <w:lang w:val="en-US" w:eastAsia="zh-CN" w:bidi="ar"/>
        </w:rPr>
        <w:t xml:space="preserve">机房建设类</w:t>
      </w:r>
      <w:r>
        <w:rPr>
          <w:rFonts w:hint="eastAsia" w:ascii="宋体" w:hAnsi="宋体" w:eastAsia="宋体" w:cs="宋体"/>
          <w:bCs/>
          <w:color w:val="auto"/>
          <w:sz w:val="24"/>
          <w:highlight w:val="none"/>
          <w:lang w:val="en-US" w:eastAsia="zh-CN" w:bidi="ar"/>
        </w:rPr>
        <w:t xml:space="preserve">项目</w:t>
      </w:r>
      <w:r>
        <w:rPr>
          <w:rFonts w:hint="eastAsia" w:ascii="宋体" w:hAnsi="宋体" w:cs="宋体"/>
          <w:color w:val="auto"/>
          <w:sz w:val="24"/>
          <w:highlight w:val="none"/>
        </w:rPr>
        <w:t xml:space="preserve">）提供相关案例合同的优先。</w:t>
      </w:r>
      <w:r/>
    </w:p>
    <w:p>
      <w:pPr>
        <w:numPr>
          <w:ilvl w:val="0"/>
          <w:numId w:val="0"/>
        </w:numPr>
        <w:spacing w:line="400" w:lineRule="exact"/>
        <w:rPr>
          <w:rFonts w:hint="eastAsia" w:ascii="宋体" w:hAnsi="宋体" w:cs="宋体"/>
          <w:b/>
          <w:bCs w:val="0"/>
          <w:color w:val="auto"/>
          <w:sz w:val="24"/>
          <w:highlight w:val="none"/>
          <w:lang w:val="en-US" w:eastAsia="zh-CN" w:bidi="ar"/>
        </w:rPr>
      </w:pPr>
      <w:r>
        <w:rPr>
          <w:rFonts w:hint="eastAsia" w:ascii="宋体" w:hAnsi="宋体" w:cs="宋体"/>
          <w:b/>
          <w:bCs w:val="0"/>
          <w:color w:val="auto"/>
          <w:sz w:val="24"/>
          <w:highlight w:val="none"/>
          <w:lang w:val="en-US" w:eastAsia="zh-CN" w:bidi="ar"/>
        </w:rPr>
        <w:t xml:space="preserve">九、所供货物其他要求</w:t>
      </w:r>
      <w:r/>
    </w:p>
    <w:p>
      <w:pPr>
        <w:numPr>
          <w:ilvl w:val="0"/>
          <w:numId w:val="0"/>
        </w:numPr>
        <w:ind w:firstLine="480"/>
        <w:spacing w:line="400" w:lineRule="exact"/>
        <w:rPr>
          <w:rFonts w:hint="eastAsia" w:ascii="宋体" w:hAnsi="宋体" w:eastAsia="宋体" w:cs="宋体"/>
          <w:b w:val="0"/>
          <w:bCs/>
          <w:color w:val="auto"/>
          <w:sz w:val="24"/>
          <w:highlight w:val="none"/>
          <w:lang w:eastAsia="zh-CN" w:bidi="ar"/>
        </w:rPr>
      </w:pPr>
      <w:r>
        <w:rPr>
          <w:rFonts w:hint="eastAsia" w:ascii="宋体" w:hAnsi="宋体" w:cs="宋体"/>
          <w:b w:val="0"/>
          <w:bCs/>
          <w:color w:val="auto"/>
          <w:sz w:val="24"/>
          <w:highlight w:val="none"/>
          <w:lang w:bidi="ar"/>
        </w:rPr>
        <w:t xml:space="preserve">为响应国家绿色、节能要求，</w:t>
      </w:r>
      <w:r>
        <w:rPr>
          <w:rFonts w:hint="eastAsia" w:ascii="宋体" w:hAnsi="宋体" w:cs="宋体"/>
          <w:b w:val="0"/>
          <w:bCs/>
          <w:color w:val="auto"/>
          <w:sz w:val="24"/>
          <w:highlight w:val="none"/>
          <w:lang w:val="en-US" w:eastAsia="zh-CN" w:bidi="ar"/>
        </w:rPr>
        <w:t xml:space="preserve">建议采用的</w:t>
      </w:r>
      <w:r>
        <w:rPr>
          <w:rFonts w:hint="eastAsia" w:ascii="宋体" w:hAnsi="宋体" w:cs="宋体"/>
          <w:b w:val="0"/>
          <w:bCs/>
          <w:color w:val="auto"/>
          <w:sz w:val="24"/>
          <w:highlight w:val="none"/>
          <w:lang w:bidi="ar"/>
        </w:rPr>
        <w:t xml:space="preserve">微模块产品要求全年PUE不高于1.2</w:t>
      </w:r>
      <w:r>
        <w:rPr>
          <w:rFonts w:hint="eastAsia" w:ascii="宋体" w:hAnsi="宋体" w:cs="宋体"/>
          <w:b w:val="0"/>
          <w:bCs/>
          <w:color w:val="auto"/>
          <w:sz w:val="24"/>
          <w:highlight w:val="none"/>
          <w:lang w:eastAsia="zh-CN" w:bidi="ar"/>
        </w:rPr>
        <w:t xml:space="preserve">。</w:t>
      </w:r>
      <w:r/>
    </w:p>
    <w:p>
      <w:pPr>
        <w:jc w:val="left"/>
        <w:keepLines w:val="0"/>
        <w:keepNext w:val="0"/>
        <w:pageBreakBefore w:val="0"/>
        <w:spacing w:line="360" w:lineRule="auto"/>
        <w:widowControl/>
        <w:rPr>
          <w:rFonts w:ascii="宋体" w:hAnsi="宋体" w:eastAsia="Arial" w:cs="宋体"/>
          <w:b/>
          <w:bCs/>
          <w:color w:val="auto"/>
          <w:sz w:val="24"/>
          <w:szCs w:val="20"/>
          <w:highlight w:val="none"/>
        </w:rPr>
        <w:outlineLvl w:val="1"/>
      </w:pPr>
      <w:r>
        <w:rPr>
          <w:rFonts w:hint="eastAsia" w:ascii="宋体" w:hAnsi="宋体" w:cs="宋体"/>
          <w:b/>
          <w:bCs/>
          <w:color w:val="auto"/>
          <w:sz w:val="24"/>
          <w:szCs w:val="20"/>
          <w:highlight w:val="none"/>
          <w:lang w:val="en-US" w:eastAsia="zh-CN"/>
        </w:rPr>
        <w:t xml:space="preserve">十</w:t>
      </w:r>
      <w:r>
        <w:rPr>
          <w:rFonts w:hint="eastAsia" w:ascii="宋体" w:hAnsi="宋体" w:cs="宋体"/>
          <w:b/>
          <w:bCs/>
          <w:color w:val="auto"/>
          <w:sz w:val="24"/>
          <w:szCs w:val="20"/>
          <w:highlight w:val="none"/>
        </w:rPr>
        <w:t xml:space="preserve">、</w:t>
      </w:r>
      <w:r>
        <w:rPr>
          <w:rFonts w:hint="eastAsia" w:ascii="宋体" w:hAnsi="宋体" w:eastAsia="Arial" w:cs="宋体"/>
          <w:b/>
          <w:bCs/>
          <w:color w:val="auto"/>
          <w:sz w:val="24"/>
          <w:szCs w:val="20"/>
          <w:highlight w:val="none"/>
        </w:rPr>
        <w:t xml:space="preserve">团队能力</w:t>
      </w:r>
      <w:r/>
    </w:p>
    <w:p>
      <w:pPr>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为保证项目顺利高质量实施，投标人投入本项项目团队成员人数不少于</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人，其中含项目</w:t>
      </w:r>
      <w:r>
        <w:rPr>
          <w:rFonts w:hint="eastAsia" w:ascii="宋体" w:hAnsi="宋体" w:cs="宋体"/>
          <w:color w:val="auto"/>
          <w:sz w:val="24"/>
          <w:highlight w:val="none"/>
          <w:lang w:val="en-US" w:eastAsia="zh-CN"/>
        </w:rPr>
        <w:t xml:space="preserve">经理</w:t>
      </w:r>
      <w:r>
        <w:rPr>
          <w:rFonts w:hint="eastAsia" w:ascii="宋体" w:hAnsi="宋体" w:cs="宋体"/>
          <w:color w:val="auto"/>
          <w:sz w:val="24"/>
          <w:highlight w:val="none"/>
        </w:rPr>
        <w:t xml:space="preserve">1名、项目技术负责人</w:t>
      </w:r>
      <w:r>
        <w:rPr>
          <w:rFonts w:hint="eastAsia" w:ascii="宋体" w:hAnsi="宋体" w:cs="宋体"/>
          <w:color w:val="auto"/>
          <w:sz w:val="24"/>
          <w:highlight w:val="none"/>
          <w:lang w:val="en-US" w:eastAsia="zh-CN"/>
        </w:rPr>
        <w:t xml:space="preserve">1名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现场实施负责人</w:t>
      </w:r>
      <w:r>
        <w:rPr>
          <w:rFonts w:hint="eastAsia" w:ascii="宋体" w:hAnsi="宋体" w:cs="宋体"/>
          <w:color w:val="auto"/>
          <w:sz w:val="24"/>
          <w:highlight w:val="none"/>
          <w:lang w:val="en-US" w:eastAsia="zh-CN"/>
        </w:rPr>
        <w:t xml:space="preserve">1名、项目系统迁移负责人1名</w:t>
      </w:r>
      <w:r>
        <w:rPr>
          <w:rFonts w:hint="eastAsia" w:ascii="宋体" w:hAnsi="宋体" w:cs="宋体"/>
          <w:color w:val="auto"/>
          <w:sz w:val="24"/>
          <w:highlight w:val="none"/>
        </w:rPr>
        <w:t xml:space="preserve">：</w:t>
      </w:r>
      <w:r/>
    </w:p>
    <w:p>
      <w:pPr>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）项目</w:t>
      </w:r>
      <w:r>
        <w:rPr>
          <w:rFonts w:hint="eastAsia" w:ascii="宋体" w:hAnsi="宋体" w:cs="宋体"/>
          <w:color w:val="auto"/>
          <w:sz w:val="24"/>
          <w:highlight w:val="none"/>
          <w:lang w:val="en-US" w:eastAsia="zh-CN"/>
        </w:rPr>
        <w:t xml:space="preserve">经理</w:t>
      </w:r>
      <w:r>
        <w:rPr>
          <w:rFonts w:hint="eastAsia" w:ascii="宋体" w:hAnsi="宋体" w:cs="宋体"/>
          <w:color w:val="auto"/>
          <w:sz w:val="24"/>
          <w:highlight w:val="none"/>
        </w:rPr>
        <w:t xml:space="preserve">具有以下证书的优先：高级工程师职称证书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人社部门颁发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、网络规划设计师证书</w:t>
      </w:r>
      <w:r>
        <w:rPr>
          <w:rFonts w:hint="eastAsia" w:ascii="宋体" w:hAnsi="宋体" w:cs="宋体"/>
          <w:color w:val="auto"/>
          <w:sz w:val="24"/>
          <w:highlight w:val="none"/>
          <w:lang w:eastAsia="zh-CN"/>
        </w:rPr>
        <w:t xml:space="preserve">、CISAW信息安全保障人员证书(专业级或专业高级)</w:t>
      </w:r>
      <w:r>
        <w:rPr>
          <w:rFonts w:hint="eastAsia" w:ascii="宋体" w:hAnsi="宋体" w:cs="宋体"/>
          <w:color w:val="auto"/>
          <w:sz w:val="24"/>
          <w:highlight w:val="none"/>
          <w:lang w:val="en-US" w:eastAsia="zh-CN"/>
        </w:rPr>
        <w:t xml:space="preserve">。</w:t>
      </w:r>
      <w:r/>
    </w:p>
    <w:p>
      <w:pPr>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）项目</w:t>
      </w:r>
      <w:r>
        <w:rPr>
          <w:rFonts w:hint="eastAsia" w:ascii="宋体" w:hAnsi="宋体" w:cs="宋体"/>
          <w:color w:val="auto"/>
          <w:sz w:val="24"/>
          <w:highlight w:val="none"/>
          <w:lang w:val="en-US" w:eastAsia="zh-CN"/>
        </w:rPr>
        <w:t xml:space="preserve">技术负责人</w:t>
      </w:r>
      <w:r>
        <w:rPr>
          <w:rFonts w:hint="eastAsia" w:ascii="宋体" w:hAnsi="宋体" w:cs="宋体"/>
          <w:color w:val="auto"/>
          <w:sz w:val="24"/>
          <w:highlight w:val="none"/>
        </w:rPr>
        <w:t xml:space="preserve">具有以下证书的优先：信息系统项目管理师证书、系统架构设计师证书、CISAW信息安全保障人员证书(专业级或专业高级)。</w:t>
      </w:r>
      <w:r/>
    </w:p>
    <w:p>
      <w:pPr>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）项目现场实施负责人具有以下证书的优先：高级工程师职称证书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人社部门颁发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、信息系统管理工程师证书、注册信息安全专业人员（CISP）证书。</w:t>
      </w:r>
      <w:r/>
    </w:p>
    <w:p>
      <w:pPr>
        <w:ind w:firstLine="482"/>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）项目系统迁移负责人具有以下证书的优先：高级工程师职称证书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人社部门颁发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、系统集成项目管理工程师证书、数据库系统工程师证书。</w:t>
      </w:r>
      <w:r/>
    </w:p>
    <w:p>
      <w:pPr>
        <w:ind w:firstLine="482"/>
        <w:jc w:val="left"/>
        <w:keepLines w:val="0"/>
        <w:keepNext w:val="0"/>
        <w:pageBreakBefore w:val="0"/>
        <w:spacing w:line="360" w:lineRule="auto"/>
        <w:widowControl/>
        <w:rPr>
          <w:rFonts w:hint="eastAsia" w:ascii="宋体" w:hAnsi="宋体" w:cs="宋体"/>
          <w:color w:val="auto"/>
          <w:sz w:val="24"/>
          <w:highlight w:val="none"/>
          <w:lang w:val="en-US" w:eastAsia="zh-CN"/>
        </w:rPr>
      </w:pPr>
      <w:r>
        <w:rPr>
          <w:rFonts w:hint="default" w:ascii="宋体" w:hAnsi="宋体" w:cs="宋体"/>
          <w:color w:val="auto"/>
          <w:sz w:val="24"/>
          <w:highlight w:val="none"/>
          <w:lang w:val="en-US" w:eastAsia="zh-CN"/>
        </w:rPr>
        <w:t xml:space="preserve">上述4个岗位人员不得重复任职，每人仅承担其中一个岗位职责，确保各关键环节均有专人专职负责，保障项目实施的专业性和高效性</w:t>
      </w:r>
      <w:r>
        <w:rPr>
          <w:rFonts w:hint="eastAsia" w:ascii="宋体" w:hAnsi="宋体" w:cs="宋体"/>
          <w:color w:val="auto"/>
          <w:sz w:val="24"/>
          <w:highlight w:val="none"/>
          <w:lang w:val="en-US" w:eastAsia="zh-CN"/>
        </w:rPr>
        <w:t xml:space="preserve">。</w:t>
      </w:r>
      <w:r/>
    </w:p>
    <w:p>
      <w:pPr>
        <w:jc w:val="left"/>
        <w:keepLines w:val="0"/>
        <w:keepNext w:val="0"/>
        <w:pageBreakBefore w:val="0"/>
        <w:spacing w:line="360" w:lineRule="auto"/>
        <w:widowControl/>
        <w:rPr>
          <w:rFonts w:hint="default" w:ascii="宋体" w:hAnsi="宋体" w:eastAsia="Arial" w:cs="宋体"/>
          <w:b/>
          <w:bCs/>
          <w:color w:val="auto"/>
          <w:sz w:val="24"/>
          <w:szCs w:val="20"/>
          <w:highlight w:val="none"/>
          <w:lang w:val="en-US" w:eastAsia="zh-CN"/>
        </w:rPr>
      </w:pPr>
      <w:r>
        <w:rPr>
          <w:rFonts w:hint="eastAsia" w:ascii="宋体" w:hAnsi="宋体" w:eastAsia="Arial" w:cs="宋体"/>
          <w:b/>
          <w:bCs/>
          <w:color w:val="auto"/>
          <w:sz w:val="24"/>
          <w:szCs w:val="20"/>
          <w:highlight w:val="none"/>
          <w:lang w:val="en-US" w:eastAsia="zh-CN"/>
        </w:rPr>
        <w:t xml:space="preserve">十一、质量要求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中标人承担。</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2、投标人须明确所投设备的生产厂家、品牌、型号、规格和外形、尺寸等。</w:t>
      </w:r>
      <w:r/>
    </w:p>
    <w:p>
      <w:pPr>
        <w:pStyle w:val="915"/>
        <w:ind w:firstLine="480"/>
        <w:keepLines w:val="0"/>
        <w:keepNext w:val="0"/>
        <w:pageBreakBefore w:val="0"/>
        <w:spacing w:line="360" w:lineRule="auto"/>
        <w:widowControl w:val="off"/>
        <w:rPr>
          <w:rFonts w:hint="default"/>
          <w:color w:val="auto"/>
          <w:highlight w:val="none"/>
          <w:lang w:val="en-US" w:eastAsia="zh-CN"/>
        </w:rPr>
      </w:pPr>
      <w:r>
        <w:rPr>
          <w:rFonts w:hint="eastAsia"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货物运抵现场后，甲方将对货物的质量、性能</w:t>
      </w:r>
      <w:r>
        <w:rPr>
          <w:rFonts w:hint="eastAsia" w:ascii="宋体" w:hAnsi="宋体" w:eastAsia="宋体" w:cs="Times New Roman"/>
          <w:color w:val="auto"/>
          <w:sz w:val="24"/>
          <w:szCs w:val="24"/>
          <w:highlight w:val="none"/>
          <w:lang w:val="en-US" w:eastAsia="zh-CN" w:bidi="ar-SA"/>
        </w:rPr>
        <w:t xml:space="preserve">、规格型号、技术要求、品牌、数量等进行初步检验(或取样送检),如发现货物的质量、性能、规格型号、技术要求、品牌、数量等与招标文件要求及投标承诺、国家现行的相关规范标准及有关部门最新颁布的相应的最新标准不符时(或检测不合格时)，乙方应按甲方规定的时间内将货物运出安装场地，重新采购符合要求的货物，并承担由此发生的一切损失和责任，由此延误的工期不予顺延[如乙方不服从或拒绝按甲方要求的时间运出安装场地，甲方有权单独采购符合要求的货物，其一切费用均在乙方款项中扣除]。甲方根据当地质检部门出具的检验证书向乙方提出索赔。</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投标人应保证货物是全新、未使用过的原厂合格产品，并完全符合招标货物到现场，甲方如认为质量不合格，可委托具备该货物检测能力的检测机构对其质量进行检测。如检测结果合格，其检测费由甲方承担;如检测结果不合格，其检测费由乙方承担，同时乙方承担本合同规定的其他责任。</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5、投标人应保证其货物在正确安装、正常使用下，在其使用寿命期内应具有满意的性能。</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6、投标人应采取必要的安全措施保证货物的运输及安装的安全，并承担货物的运输及安装过程中产生的风险。</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7、所有报价的产品的各项技术标准应当符合现行相关生产标准和规范及招标文件的要求。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8、供货时必须随产品提供出厂材料，包括但不限于检验报告（复印件）、产品合格证（原件）以及设备的测试、运行、保养手册，所有材料均要满足环保要求。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9、招标人将邀请专业人员，对安装到位的设备进行全面检查，发现使用不符合要求的产品，无条件更换，并没收履约保证金。</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十二、</w:t>
      </w:r>
      <w:r>
        <w:rPr>
          <w:rFonts w:hint="eastAsia" w:ascii="宋体" w:hAnsi="宋体" w:eastAsia="宋体" w:cs="Times New Roman"/>
          <w:b/>
          <w:bCs/>
          <w:color w:val="auto"/>
          <w:sz w:val="24"/>
          <w:szCs w:val="24"/>
          <w:highlight w:val="none"/>
          <w:lang w:val="en-US" w:eastAsia="zh-CN" w:bidi="ar-SA"/>
        </w:rPr>
        <w:t xml:space="preserve">售后服务</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自项目验收交付之日起免费质保期为：3年（若国家和/或生产厂家对本项目所涉及货物的质量保证期的规定高于本项目的要求，应按国家和/或生产厂家的规定执行）。所有软硬件产品原厂提供不少于3年的质保，清单中部分产品大于3年质保的以清单要求为准。硬件供应商承诺与软件相匹配，提供的货物在质保期内，因产品质量而导致的缺陷，必须免费提供换新服务；</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全系统维保：提供三年7*24标准技术维护服务，包含：合同所包含设备的技术支持(系统状态检测、判断、故障处理方案的邮件、电话和现场支持)、故障处理、设备厂商服务期内维保服务的协调、软件服务期内升级的支持；期限内每年12次巡检；7*24小时服务、1小时以内响应、并安排资深工程师4小时内赴现场解决问题；（包含机房原有设备）利旧安装。清单中部分产品大于3年质保的以清单要求为准。</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、需提供7*24小时联系电话，有专职工程师，并在接到故障维修10分钟内响应，24小时内无法修复的，应提供相同配置的备用机，保障采购单位正常工作使用。</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投标单位需提供现场技术培训，应给出详尽的培训计划，提供全套的培训资料，培训应包括系统的设计原理、系统设备维护、设计理论、相关软、硬件的使用和操作等,确保采购单位的使用人员在经过培训后能完全掌握系统的安装、调试和维护。</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、投标单位应充分保证售后服务点主要硬件维修所需的备件供应。更换的备件型号和规格应与被更换的完全一样或更优，更换下的备件应退还采购单位。</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lang w:val="en-US" w:eastAsia="zh-CN" w:bidi="ar-SA"/>
        </w:rPr>
        <w:t xml:space="preserve">、投标单位在每次预防性维护后，应针对设备的隐患，准备备件，并立即进行更换。</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7</w:t>
      </w:r>
      <w:r>
        <w:rPr>
          <w:rFonts w:hint="eastAsia" w:ascii="宋体" w:hAnsi="宋体" w:eastAsia="宋体" w:cs="Times New Roman"/>
          <w:color w:val="auto"/>
          <w:sz w:val="24"/>
          <w:szCs w:val="24"/>
          <w:highlight w:val="none"/>
          <w:lang w:val="en-US" w:eastAsia="zh-CN" w:bidi="ar-SA"/>
        </w:rPr>
        <w:t xml:space="preserve">、免费提供该产品的现场技术培训和技术支持，直至用户指定人员能够正常使用和维护；</w:t>
      </w:r>
      <w:r>
        <w:rPr>
          <w:rFonts w:hint="eastAsia" w:ascii="宋体" w:hAnsi="宋体" w:eastAsia="宋体" w:cs="Times New Roman"/>
          <w:color w:val="auto"/>
          <w:sz w:val="24"/>
          <w:szCs w:val="24"/>
          <w:highlight w:val="none"/>
          <w:lang w:val="en-US" w:eastAsia="zh-CN" w:bidi="ar-SA"/>
        </w:rPr>
        <w:br w:type="textWrapping" w:clear="all"/>
      </w:r>
      <w:r>
        <w:rPr>
          <w:rFonts w:hint="eastAsia" w:ascii="宋体" w:hAnsi="宋体" w:eastAsia="宋体" w:cs="Times New Roman"/>
          <w:color w:val="auto"/>
          <w:sz w:val="24"/>
          <w:szCs w:val="24"/>
          <w:highlight w:val="none"/>
          <w:lang w:val="en-US" w:eastAsia="zh-CN" w:bidi="ar-SA"/>
        </w:rPr>
        <w:t xml:space="preserve">   </w:t>
      </w:r>
      <w:r>
        <w:rPr>
          <w:rFonts w:hint="eastAsia" w:ascii="宋体" w:hAnsi="宋体" w:cs="Times New Roman"/>
          <w:color w:val="auto"/>
          <w:sz w:val="24"/>
          <w:szCs w:val="24"/>
          <w:highlight w:val="none"/>
          <w:lang w:val="en-US" w:eastAsia="zh-CN" w:bidi="ar-SA"/>
        </w:rPr>
        <w:t xml:space="preserve">8</w:t>
      </w:r>
      <w:r>
        <w:rPr>
          <w:rFonts w:hint="eastAsia" w:ascii="宋体" w:hAnsi="宋体" w:eastAsia="宋体" w:cs="Times New Roman"/>
          <w:color w:val="auto"/>
          <w:sz w:val="24"/>
          <w:szCs w:val="24"/>
          <w:highlight w:val="none"/>
          <w:lang w:val="en-US" w:eastAsia="zh-CN" w:bidi="ar-SA"/>
        </w:rPr>
        <w:t xml:space="preserve">、本次项目为交钥匙工程，中标方应充分了解医院现有设备、环境，提供满足本项目相关的连接设备、模块、光纤等相关配套设施，以确保相关设备能够顺利上线，业务能够正常运行，在安装调试过程中甲方不提供任何配套设施，因中标方考虑不周而造成设备无法安装，由中标方免费补齐相关设备。</w:t>
      </w:r>
      <w:r>
        <w:rPr>
          <w:rFonts w:hint="eastAsia" w:ascii="宋体" w:hAnsi="宋体" w:eastAsia="宋体" w:cs="Times New Roman"/>
          <w:color w:val="auto"/>
          <w:sz w:val="24"/>
          <w:szCs w:val="24"/>
          <w:highlight w:val="none"/>
          <w:lang w:val="en-US" w:eastAsia="zh-CN" w:bidi="ar-SA"/>
        </w:rPr>
        <w:br w:type="textWrapping" w:clear="all"/>
      </w:r>
      <w:r>
        <w:rPr>
          <w:rFonts w:hint="eastAsia" w:ascii="宋体" w:hAnsi="宋体" w:eastAsia="宋体" w:cs="Times New Roman"/>
          <w:color w:val="auto"/>
          <w:sz w:val="24"/>
          <w:szCs w:val="24"/>
          <w:highlight w:val="none"/>
          <w:lang w:val="en-US" w:eastAsia="zh-CN" w:bidi="ar-SA"/>
        </w:rPr>
        <w:t xml:space="preserve">  </w:t>
      </w:r>
      <w:r>
        <w:rPr>
          <w:rFonts w:hint="eastAsia" w:ascii="宋体" w:hAnsi="宋体" w:cs="Times New Roman"/>
          <w:color w:val="auto"/>
          <w:sz w:val="24"/>
          <w:szCs w:val="24"/>
          <w:highlight w:val="none"/>
          <w:lang w:val="en-US" w:eastAsia="zh-CN" w:bidi="ar-SA"/>
        </w:rPr>
        <w:t xml:space="preserve">9</w:t>
      </w:r>
      <w:r>
        <w:rPr>
          <w:rFonts w:hint="eastAsia" w:ascii="宋体" w:hAnsi="宋体" w:eastAsia="宋体" w:cs="Times New Roman"/>
          <w:color w:val="auto"/>
          <w:sz w:val="24"/>
          <w:szCs w:val="24"/>
          <w:highlight w:val="none"/>
          <w:lang w:val="en-US" w:eastAsia="zh-CN" w:bidi="ar-SA"/>
        </w:rPr>
        <w:t xml:space="preserve">、各厂家及供应商推荐设备须完全满足功能及性能指标要求，其它指标不作硬性要求，但必须满足我院实际使用需要。后期使用过程中如出现配置不够产生额外费用，由供应商或厂家自行承担。</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十三、</w:t>
      </w:r>
      <w:r>
        <w:rPr>
          <w:rFonts w:hint="eastAsia" w:ascii="宋体" w:hAnsi="宋体" w:eastAsia="宋体" w:cs="Times New Roman"/>
          <w:b/>
          <w:bCs/>
          <w:color w:val="auto"/>
          <w:sz w:val="24"/>
          <w:szCs w:val="24"/>
          <w:highlight w:val="none"/>
          <w:lang w:val="en-US" w:eastAsia="zh-CN" w:bidi="ar-SA"/>
        </w:rPr>
        <w:t xml:space="preserve">验收标准</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2.中标人交货前应对产品作出全面检查和对验收文件进行整理，并列出清单，作为采购人收货验收和使用的技术条件依据，检验的结果应随货物交采购人。</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3.采购人对中标人提供的货物在使用前进行调试时，中标人需负责安装并培训采购人的使用操作人员，并协助采购人一起调试，直到符合技术要求，采购人才做最终验收。</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4.对技术复杂的货物，采购人可请国家认可的专业检测机构参与初步验收及最终验收，并由其出具质量检测报告。</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 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十四、</w:t>
      </w:r>
      <w:r>
        <w:rPr>
          <w:rFonts w:hint="eastAsia" w:ascii="宋体" w:hAnsi="宋体" w:eastAsia="宋体" w:cs="Times New Roman"/>
          <w:b/>
          <w:bCs/>
          <w:color w:val="auto"/>
          <w:sz w:val="24"/>
          <w:szCs w:val="24"/>
          <w:highlight w:val="none"/>
          <w:lang w:val="en-US" w:eastAsia="zh-CN" w:bidi="ar-SA"/>
        </w:rPr>
        <w:t xml:space="preserve">安全管理要求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为贯彻“安全第一，预防为主”方针，中标方在项目安装调试现场施工过程中，必须遵守国家和地方关于劳动安全、劳务用工等法律法规及规章制度，制定严格的安全措施，加强安全监督管理，对工程施工过程中发生的人身伤害、设备损坏事故承担安全责任，并按国家有关规定，为施工人员进行人身保险，配备合格的劳动防护用品、安全用具。</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2.若发生安全问题，由中标方（施工单位）自行负责处理并承担一切经济和法律责任，其与招标单位一切无关，同时按合同要求保证施工进度，按时完工 。</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十五、</w:t>
      </w:r>
      <w:r>
        <w:rPr>
          <w:rFonts w:hint="eastAsia" w:ascii="宋体" w:hAnsi="宋体" w:eastAsia="宋体" w:cs="Times New Roman"/>
          <w:b/>
          <w:bCs/>
          <w:color w:val="auto"/>
          <w:sz w:val="24"/>
          <w:szCs w:val="24"/>
          <w:highlight w:val="none"/>
          <w:lang w:val="en-US" w:eastAsia="zh-CN" w:bidi="ar-SA"/>
        </w:rPr>
        <w:t xml:space="preserve">项目实施、进度要求 </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此项目为交钥匙工程，勘查单位需实地测量核准，招标方不承担因机房面积不准而追加相关费用，数据中心及机房建设请现场勘查，充分考虑该项目所需的软硬件内容，及时提出或确认有无遗漏的软件模块或硬件设备及配件，未提出或确认无遗漏的，视同认同该方案所涉及的软、硬件及配件，将由承建单位自行承担因遗漏的软、硬件及其配件所造成的损失。</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2.机房市电采用双总线双供电模式，带自动切换装置，设空开管理。</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3.确保符合国家信息安全等级保护三级标准及智慧化机房标准。</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4.因原有硬件设备需利旧，请设计单位及最终中标方充分考虑新旧设备连接的兼容性及稳定性，因此而产生的问题及造成的损失由承建单位自行承担。</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5.符合国产化建设要求。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项目实施进度要求：（1）项目实施后，投标人应定期向采购人汇报项目进展状况，参加与项目有关的各类会议，提交项目周报、项目月报以及阶段性进展报告；项目验收方案，包括技术文档移交等内容的阐述。（2）应提供项目组人员组成及人员简介、具体工作内容等。项目组人员调整须提前1周与采购人协商，并征得采购人同意。 </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十六、</w:t>
      </w:r>
      <w:r>
        <w:rPr>
          <w:rFonts w:hint="eastAsia" w:ascii="宋体" w:hAnsi="宋体" w:eastAsia="宋体" w:cs="Times New Roman"/>
          <w:b/>
          <w:bCs/>
          <w:color w:val="auto"/>
          <w:sz w:val="24"/>
          <w:szCs w:val="24"/>
          <w:highlight w:val="none"/>
          <w:lang w:val="en-US" w:eastAsia="zh-CN" w:bidi="ar-SA"/>
        </w:rPr>
        <w:t xml:space="preserve">施工和安全要求：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1.中标方应为施工人员购买不记名工程意外伤害保险。</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2.所有安装施工材料质量必须严格按照国家规范的有关要求执行。</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3.设备在安装时，应根据生产厂家所提供的产品安装说明书施工，安装辅材必须采用优质产品。</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中标人应对安装施工质量全面负责，文明、安全施工，如成交单位原因造成质量事故、成交单位承担一切经济法律责任。中标单位在实施过程中，严格按照国家规范、施工图设计施工，加强安全管理工作，确保安全文明施工，所有该工程的安全文明施工措施费用均含在总报价中。</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5.在安装施工期间，中标人应无条件的遵守施工现场的各项规章制度。</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6.在安装施工期间，中标人应无条件的接受采购方的质量监督，提出的质量问题要及时整改，整改完毕后通知采购方检查验收，合格后书面报送采购方备案。</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7.中标人必须按照工程设计和技术标准施工，不得擅自修改工程设计，不得偷工减料。</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中标人必须建立健全质量检查制度，严格工序管理，隐蔽工程在隐蔽前应通知采购方检查验收；本着谁施工谁负责产品保护，谁破坏产品谁负责赔偿的原则，成交单位必须采取切实有效的产品保护措施，并编制相应的产品保护方案报采购单位批准同意后组织实施。</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9.中标人必须负责安装过程中对采购单位原有装修的破坏进行修复，恢复原状，该费用包含于总投标报价中。</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10.中标人安装设备所需电源，由中标人自行接线且保持场地美观。</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十七、</w:t>
      </w:r>
      <w:r>
        <w:rPr>
          <w:rFonts w:hint="eastAsia" w:ascii="宋体" w:hAnsi="宋体" w:eastAsia="宋体" w:cs="Times New Roman"/>
          <w:b/>
          <w:bCs/>
          <w:color w:val="auto"/>
          <w:sz w:val="24"/>
          <w:szCs w:val="24"/>
          <w:highlight w:val="none"/>
          <w:lang w:val="en-US" w:eastAsia="zh-CN" w:bidi="ar-SA"/>
        </w:rPr>
        <w:t xml:space="preserve">培训要求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培训是项目顺利进行的保证。在项目的不同阶段要求提供相关的培训课程，面向系统开发和管理员、各级领导、系统操作人员等不同群体提供系统化、定制化和有针对性的培训。</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(1)培训内容要求分为三类，分别为系统开发和管理培训、运行与维护管理培训和用户使用培训。通过培训应使各类用户能独立进行相应应用与管理、故障处理、日常维护等工作，确保系统能正常安全运行；</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 中标人应在投标文件中提出培训计划，计划包括培训项目、人数、地点等详细内容；</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 所投设备原厂技术培训，培训期间一切费用由承建商承担（含医院信息化专业人员2名）。</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(4)其中要求对系统管理员进行充分的技术培训和教育，保证管理人员掌握必要的管理工具，通晓管理规范。</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十八、视频演示</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投标人应根据采购需求和本项目实际，提供相应的录屏演示文件，具体内容至少包含：</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视频演示内容一（C86架构超融合管理软件管理）：</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1、支持避免主机RAID卡卡死影响，一旦发现RAID卡出现卡死状态，平台支持对该主机进行隔离；</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2、支持微隔离策略，支持访问关系、历史流量和用户配置等制定相应微隔离规则，支持预览访问关系和防护状况以发布推荐策略。</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视频演示内容二（外网备份一体机软件功能）：</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3、支持Oracle RAC虚拟化验证时，可自动化配置集群网卡、聚合网卡等参数；</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4、备份系统网络支持配置“网卡关闭/开启策略”功能，可将除备份数据传输端口外的SSH、网络访问等网络端口关闭，杜绝除传输备份数据流之外的网络访问。</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视频演示内容三（7*24小时安全托管服务平台）：</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5、支持通过可视化的数据展示安全托管服务水平，至少包括高危可利用漏洞准确率和防护率、威胁闭环率和平均分析研判时效及平均遏制时效、事件闭环率和平均分析研判时效及平均闭环时效等重要风险指标；</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6、安全托管服务平台应当具备不少于40种策略检查工具以排查安全设备防护策略配置合理性。</w:t>
      </w:r>
      <w:r/>
    </w:p>
    <w:p>
      <w:pPr>
        <w:ind w:firstLine="480"/>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视频演示内容四（数字运维管理平台软件功能）：</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7、支持子网自动扫描和手动添加，能够统计各子网IP使用率并且支持子网IP使用状态可视化展示，包括IP在线状态和分配状态统计；</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8、支持IP地址标记功能，自定义标记每个IP的使用人、用途等，能够呈现每个IP的入网信息，包括接入设备IP、接入设备名称、接入设备接口，能够查看每个IP的在某个周期内的终端使用记录。</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9、支持IT资产的全量深度扫描功能，能够通过提供子网、SNMP、服务器账号等信息，深度发现信息资产的配置和属性信息，并进行资产实例的一键导入；</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10、支持查看扫描设备的特征分析数据，便于进行资产的识别与分析，做好资产信息的完善。</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11、支持在概览页面以时间轴的形式查看整个安全服务记录可点击查看详情，能够查看安全服务厂商数量、安全服务目录总数、安全服务次数以及安全服务台账总数等并能够下钻展示列表；</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12、支持安全服务目录管理，可对安全服务类目进行计划与过程管理；能够查看各安全服务的基本信息，包括服务概述、政策要求，并支持相关附件的上传与预览；同时可对各安全服务项目进行数据统计，涵盖安全服务次数、服务过程文档总数等指标，并支持点击查看详情。</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13、支持安全事件处置流程的自定义管理，能够以图形化方式设置流程，并可针对不同场景配置多个处置流程及发起人的职责范围；支持事件处理节点权限的精细化自定义，可灵活配置各节点的发起人、处理人、处理角色、处理命令及抄送人等信息，且选人方式支持多维度配置；</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14、支持基于预设流程的安全事件处置管理，能够根据信息资产中的责任人自动识别并下发处置任务；支持事件处理表单的自定义，通过拖拉拽方式灵活配置表单样式，满足多类型事件的处置需求。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15、支持移动端事件处理，可在移动端进行安全事件的通知、查看、处置和统计；</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16、支持通过移动端查看安全事件处置的流程细节，实时了解事件的处置人、处置进展、处置措施、处置总结等信息并能够根据事件紧急程度进行倒计时提醒。</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演示要求：</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①演示方式：录屏演示。</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②投标人需按照招标文件规定的演示内容制作录屏演示视频，</w:t>
      </w:r>
      <w:r>
        <w:rPr>
          <w:rFonts w:hint="eastAsia" w:ascii="宋体" w:hAnsi="宋体" w:eastAsia="宋体" w:cs="宋体"/>
          <w:color w:val="auto"/>
          <w:sz w:val="24"/>
          <w:highlight w:val="none"/>
          <w:lang w:val="en-US" w:eastAsia="zh-CN" w:bidi="ar"/>
        </w:rPr>
        <w:t xml:space="preserve">投标供应商须在真实应用系统或DEMO系统进行录屏演示，不得使用PPT系统演示。</w:t>
      </w:r>
      <w:r>
        <w:rPr>
          <w:rFonts w:hint="eastAsia" w:ascii="宋体" w:hAnsi="宋体" w:eastAsia="宋体" w:cs="Times New Roman"/>
          <w:color w:val="auto"/>
          <w:sz w:val="24"/>
          <w:szCs w:val="24"/>
          <w:highlight w:val="none"/>
          <w:lang w:val="en-US" w:eastAsia="zh-CN" w:bidi="ar-SA"/>
        </w:rPr>
        <w:t xml:space="preserve">文件的格式为*.mp4 或*.avi，投标人须将演示视频分段压缩为*.zip 文件上传（单个文件不得大于50M，所有文件总共不得大于300M）。文件上传方式见《操作手册》规定，上传的录屏演示视频将作为投标文件的组成部分，时长总计不超过25分钟。</w:t>
      </w:r>
      <w:r/>
    </w:p>
    <w:p>
      <w:pPr>
        <w:numPr>
          <w:ilvl w:val="0"/>
          <w:numId w:val="0"/>
        </w:numPr>
        <w:spacing w:line="360" w:lineRule="auto"/>
        <w:widowControl/>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十九、</w:t>
      </w:r>
      <w:r>
        <w:rPr>
          <w:rFonts w:hint="eastAsia" w:ascii="宋体" w:hAnsi="宋体" w:eastAsia="宋体" w:cs="Times New Roman"/>
          <w:b/>
          <w:bCs/>
          <w:color w:val="auto"/>
          <w:sz w:val="24"/>
          <w:szCs w:val="24"/>
          <w:highlight w:val="none"/>
          <w:lang w:val="en-US" w:eastAsia="zh-CN" w:bidi="ar-SA"/>
        </w:rPr>
        <w:t xml:space="preserve">合同履行期限和地点</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1、合同履行期限：签订合同后3个月内（以招标人发出的开工通知时间为准）供货到招标人指定地点完成安装、调试工作，并经招标人（或委托有资质的第三方）验收合格。</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2、履约地点：招标人指定地点。</w:t>
      </w:r>
      <w:r/>
    </w:p>
    <w:p>
      <w:pPr>
        <w:jc w:val="left"/>
        <w:spacing w:line="560" w:lineRule="exact"/>
        <w:widowControl/>
        <w:rPr>
          <w:rFonts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lang w:val="en-US" w:eastAsia="zh-CN"/>
        </w:rPr>
        <w:t xml:space="preserve">二十</w:t>
      </w:r>
      <w:r>
        <w:rPr>
          <w:rFonts w:hint="eastAsia" w:ascii="宋体" w:hAnsi="宋体" w:eastAsia="Arial" w:cs="宋体"/>
          <w:b/>
          <w:bCs/>
          <w:color w:val="auto"/>
          <w:sz w:val="24"/>
          <w:szCs w:val="20"/>
          <w:highlight w:val="none"/>
        </w:rPr>
        <w:t xml:space="preserve">、采购标的对应的中小企业划分标准所属行业一览表</w:t>
      </w:r>
      <w:r/>
    </w:p>
    <w:tbl>
      <w:tblPr>
        <w:tblStyle w:val="914"/>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trHeight w:val="789"/>
        </w:trPr>
        <w:tc>
          <w:tcPr>
            <w:tcW w:w="907" w:type="dxa"/>
            <w:vAlign w:val="center"/>
            <w:textDirection w:val="lrTb"/>
            <w:noWrap w:val="false"/>
          </w:tcPr>
          <w:p>
            <w:pPr>
              <w:jc w:val="center"/>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序号</w:t>
            </w:r>
            <w:r/>
          </w:p>
        </w:tc>
        <w:tc>
          <w:tcPr>
            <w:tcW w:w="3836" w:type="dxa"/>
            <w:vAlign w:val="center"/>
            <w:textDirection w:val="lrTb"/>
            <w:noWrap w:val="false"/>
          </w:tcPr>
          <w:p>
            <w:pPr>
              <w:jc w:val="center"/>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采购标的</w:t>
            </w:r>
            <w:r/>
          </w:p>
        </w:tc>
        <w:tc>
          <w:tcPr>
            <w:tcW w:w="3987" w:type="dxa"/>
            <w:vAlign w:val="center"/>
            <w:textDirection w:val="lrTb"/>
            <w:noWrap w:val="false"/>
          </w:tcPr>
          <w:p>
            <w:pPr>
              <w:jc w:val="center"/>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对应中小企业划分标准所属行业</w:t>
            </w:r>
            <w:r/>
          </w:p>
        </w:tc>
      </w:tr>
      <w:tr>
        <w:trPr>
          <w:trHeight w:val="843"/>
        </w:trPr>
        <w:tc>
          <w:tcPr>
            <w:tcW w:w="907" w:type="dxa"/>
            <w:vAlign w:val="center"/>
            <w:textDirection w:val="lrTb"/>
            <w:noWrap w:val="false"/>
          </w:tcPr>
          <w:p>
            <w:pPr>
              <w:jc w:val="center"/>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p>
        </w:tc>
        <w:tc>
          <w:tcPr>
            <w:tcW w:w="3836" w:type="dxa"/>
            <w:vAlign w:val="center"/>
            <w:textDirection w:val="lrTb"/>
            <w:noWrap w:val="false"/>
          </w:tcPr>
          <w:p>
            <w:pPr>
              <w:jc w:val="center"/>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lang w:val="en-US" w:eastAsia="zh-CN"/>
              </w:rPr>
              <w:t xml:space="preserve">盐城市第三人民医院二期附属大数据机房及肝脏健康大数据数智底座建设项目</w:t>
            </w:r>
            <w:r>
              <w:rPr>
                <w:rFonts w:hint="eastAsia" w:ascii="宋体" w:hAnsi="宋体" w:eastAsia="Arial" w:cs="宋体"/>
                <w:color w:val="auto"/>
                <w:sz w:val="24"/>
                <w:szCs w:val="20"/>
                <w:highlight w:val="none"/>
              </w:rPr>
              <w:t xml:space="preserve"> </w:t>
            </w:r>
            <w:r/>
          </w:p>
        </w:tc>
        <w:tc>
          <w:tcPr>
            <w:tcW w:w="3987" w:type="dxa"/>
            <w:vAlign w:val="center"/>
            <w:textDirection w:val="lrTb"/>
            <w:noWrap w:val="false"/>
          </w:tcPr>
          <w:p>
            <w:pPr>
              <w:jc w:val="center"/>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工业</w:t>
            </w:r>
            <w:r/>
          </w:p>
        </w:tc>
      </w:tr>
    </w:tbl>
    <w:p>
      <w:pPr>
        <w:pStyle w:val="921"/>
        <w:ind w:firstLine="602"/>
        <w:jc w:val="both"/>
        <w:spacing w:beforeAutospacing="0" w:afterAutospacing="0"/>
        <w:rPr>
          <w:color w:val="auto"/>
          <w:highlight w:val="none"/>
        </w:rPr>
      </w:pPr>
      <w:r>
        <w:rPr>
          <w:color w:val="auto"/>
          <w:highlight w:val="none"/>
        </w:rPr>
      </w:r>
      <w:r/>
    </w:p>
    <w:p>
      <w:pPr>
        <w:pStyle w:val="921"/>
        <w:jc w:val="center"/>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tab/>
      </w:r>
      <w:r/>
    </w:p>
    <w:p>
      <w:pPr>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t xml:space="preserve">    </w:t>
      </w:r>
      <w:r/>
    </w:p>
    <w:p>
      <w:pPr>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lang w:val="en-US" w:eastAsia="zh-CN"/>
        </w:rPr>
        <w:br w:type="page" w:clear="all"/>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921"/>
        <w:jc w:val="both"/>
        <w:spacing w:beforeAutospacing="0" w:afterAutospacing="0"/>
        <w:rPr>
          <w:color w:val="auto"/>
          <w:highlight w:val="none"/>
        </w:rPr>
      </w:pPr>
      <w:r>
        <w:rPr>
          <w:color w:val="auto"/>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921"/>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929"/>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921"/>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921"/>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921"/>
        <w:ind w:left="120" w:firstLine="360"/>
        <w:spacing w:before="120" w:beforeAutospacing="0" w:after="120" w:afterAutospacing="0" w:line="0" w:lineRule="atLeas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921"/>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921"/>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921"/>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921"/>
        <w:ind w:left="120" w:firstLine="360"/>
        <w:spacing w:before="120" w:beforeAutospacing="0" w:after="120" w:afterAutospacing="0"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6、联合体各方均为小型、微型企业（残疾人福利单位、监狱企业）的，联合体享受20%的价格扣除</w:t>
      </w:r>
      <w:r>
        <w:rPr>
          <w:rFonts w:hint="eastAsia" w:ascii="宋体" w:hAnsi="宋体" w:eastAsia="宋体" w:cs="宋体"/>
          <w:color w:val="auto"/>
          <w:sz w:val="24"/>
          <w:szCs w:val="24"/>
          <w:highlight w:val="none"/>
          <w:lang w:eastAsia="zh-CN"/>
        </w:rPr>
        <w:t xml:space="preserve">。</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7、采购本国产品的支持政策</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highlight w:val="none"/>
          <w:u w:val="single"/>
        </w:rPr>
        <w:t xml:space="preserve">80%</w:t>
      </w:r>
      <w:r>
        <w:rPr>
          <w:rFonts w:hint="eastAsia" w:asciiTheme="minorEastAsia" w:hAnsiTheme="minorEastAsia" w:eastAsiaTheme="minorEastAsia" w:cstheme="minorEastAsia"/>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w:t>
      </w:r>
      <w:r>
        <w:rPr>
          <w:rFonts w:hint="eastAsia" w:asciiTheme="minorEastAsia" w:hAnsiTheme="minorEastAsia" w:eastAsiaTheme="minorEastAsia" w:cstheme="minorEastAsia"/>
          <w:b/>
          <w:bCs/>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921"/>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评标方法与评标标准</w:t>
      </w:r>
      <w:r/>
    </w:p>
    <w:tbl>
      <w:tblPr>
        <w:tblStyle w:val="914"/>
        <w:tblpPr w:horzAnchor="page" w:tblpX="1193" w:vertAnchor="text" w:tblpY="291" w:leftFromText="180" w:topFromText="0" w:rightFromText="180" w:bottomFromText="0"/>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573"/>
        <w:gridCol w:w="7967"/>
      </w:tblGrid>
      <w:tr>
        <w:trPr/>
        <w:tc>
          <w:tcPr>
            <w:tcMar>
              <w:left w:w="15" w:type="dxa"/>
              <w:top w:w="15" w:type="dxa"/>
              <w:right w:w="15" w:type="dxa"/>
            </w:tcMar>
            <w:tcW w:w="1573" w:type="dxa"/>
            <w:vAlign w:val="center"/>
            <w:textDirection w:val="lrTb"/>
            <w:noWrap w:val="false"/>
          </w:tcPr>
          <w:p>
            <w:pPr>
              <w:jc w:val="center"/>
              <w:widowControl/>
              <w:rPr>
                <w:rFonts w:hint="eastAsia" w:ascii="宋体" w:hAnsi="宋体" w:cs="宋体"/>
                <w:b/>
                <w:color w:val="auto"/>
                <w:sz w:val="24"/>
                <w:highlight w:val="none"/>
                <w:lang w:bidi="ar"/>
              </w:rPr>
            </w:pPr>
            <w:r/>
            <w:bookmarkStart w:id="177" w:name="_Hlk196127052"/>
            <w:r>
              <w:rPr>
                <w:rFonts w:hint="eastAsia" w:ascii="宋体" w:hAnsi="宋体" w:cs="宋体"/>
                <w:b/>
                <w:color w:val="auto"/>
                <w:sz w:val="24"/>
                <w:highlight w:val="none"/>
                <w:lang w:bidi="ar"/>
              </w:rPr>
              <w:t xml:space="preserve">评分项目</w:t>
            </w:r>
            <w:r/>
          </w:p>
        </w:tc>
        <w:tc>
          <w:tcPr>
            <w:tcMar>
              <w:left w:w="15" w:type="dxa"/>
              <w:top w:w="15" w:type="dxa"/>
              <w:right w:w="15" w:type="dxa"/>
            </w:tcMar>
            <w:tcW w:w="7967" w:type="dxa"/>
            <w:vAlign w:val="center"/>
            <w:textDirection w:val="lrTb"/>
            <w:noWrap w:val="false"/>
          </w:tcPr>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评分标准</w:t>
            </w:r>
            <w:r/>
          </w:p>
        </w:tc>
      </w:tr>
      <w:tr>
        <w:trPr/>
        <w:tc>
          <w:tcPr>
            <w:tcMar>
              <w:left w:w="15" w:type="dxa"/>
              <w:top w:w="15" w:type="dxa"/>
              <w:right w:w="15" w:type="dxa"/>
            </w:tcMar>
            <w:tcW w:w="1573" w:type="dxa"/>
            <w:vAlign w:val="center"/>
            <w:textDirection w:val="lrTb"/>
            <w:noWrap w:val="false"/>
          </w:tcPr>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投标报价</w:t>
            </w:r>
            <w:r/>
          </w:p>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w:t>
            </w:r>
            <w:r>
              <w:rPr>
                <w:rFonts w:hint="eastAsia" w:ascii="宋体" w:hAnsi="宋体" w:cs="宋体"/>
                <w:b/>
                <w:color w:val="auto"/>
                <w:sz w:val="24"/>
                <w:highlight w:val="none"/>
                <w:lang w:val="en-US" w:eastAsia="zh-CN" w:bidi="ar"/>
              </w:rPr>
              <w:t xml:space="preserve">3</w:t>
            </w:r>
            <w:r>
              <w:rPr>
                <w:rFonts w:hint="eastAsia" w:ascii="宋体" w:hAnsi="宋体" w:cs="宋体"/>
                <w:b/>
                <w:color w:val="auto"/>
                <w:sz w:val="24"/>
                <w:highlight w:val="none"/>
                <w:lang w:bidi="ar"/>
              </w:rPr>
              <w:t xml:space="preserve">0分)</w:t>
            </w:r>
            <w:r/>
          </w:p>
        </w:tc>
        <w:tc>
          <w:tcPr>
            <w:tcMar>
              <w:left w:w="15" w:type="dxa"/>
              <w:top w:w="15" w:type="dxa"/>
              <w:right w:w="15" w:type="dxa"/>
            </w:tcMar>
            <w:tcW w:w="7967" w:type="dxa"/>
            <w:vAlign w:val="center"/>
            <w:textDirection w:val="lrTb"/>
            <w:noWrap w:val="false"/>
          </w:tcPr>
          <w:p>
            <w:pPr>
              <w:ind w:firstLine="480"/>
              <w:jc w:val="left"/>
              <w:spacing w:line="400" w:lineRule="exact"/>
              <w:widowControl/>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满足招标文件要求且投标价格最低的投标报价为评标基准价，其价格分为满分。其他投标人的价格分统一按照下列公式计算：</w:t>
            </w:r>
            <w:r/>
          </w:p>
          <w:p>
            <w:pPr>
              <w:jc w:val="left"/>
              <w:spacing w:line="400" w:lineRule="exact"/>
              <w:widowControl/>
              <w:rPr>
                <w:rFonts w:hint="eastAsia" w:ascii="宋体" w:hAnsi="宋体" w:cs="宋体"/>
                <w:b/>
                <w:color w:val="auto"/>
                <w:sz w:val="24"/>
                <w:highlight w:val="none"/>
                <w:lang w:bidi="ar"/>
              </w:rPr>
            </w:pPr>
            <w:r>
              <w:rPr>
                <w:rFonts w:hint="eastAsia" w:ascii="宋体" w:hAnsi="宋体" w:cs="宋体"/>
                <w:bCs/>
                <w:color w:val="auto"/>
                <w:sz w:val="24"/>
                <w:highlight w:val="none"/>
                <w:lang w:bidi="ar"/>
              </w:rPr>
              <w:t xml:space="preserve">投标报价得分=(评标基准价／投标报价)×</w:t>
            </w:r>
            <w:r>
              <w:rPr>
                <w:rFonts w:hint="eastAsia" w:ascii="宋体" w:hAnsi="宋体" w:cs="宋体"/>
                <w:bCs/>
                <w:color w:val="auto"/>
                <w:sz w:val="24"/>
                <w:highlight w:val="none"/>
                <w:lang w:val="en-US" w:eastAsia="zh-CN" w:bidi="ar"/>
              </w:rPr>
              <w:t xml:space="preserve">3</w:t>
            </w:r>
            <w:r>
              <w:rPr>
                <w:rFonts w:hint="eastAsia" w:ascii="宋体" w:hAnsi="宋体" w:cs="宋体"/>
                <w:bCs/>
                <w:color w:val="auto"/>
                <w:sz w:val="24"/>
                <w:highlight w:val="none"/>
                <w:lang w:bidi="ar"/>
              </w:rPr>
              <w:t xml:space="preserve">0 （</w:t>
            </w:r>
            <w:r>
              <w:rPr>
                <w:rFonts w:hint="eastAsia" w:ascii="宋体" w:hAnsi="宋体" w:cs="宋体"/>
                <w:color w:val="auto"/>
                <w:sz w:val="24"/>
                <w:highlight w:val="none"/>
              </w:rPr>
              <w:t xml:space="preserve">四舍五入后保留小数点后两位</w:t>
            </w:r>
            <w:r>
              <w:rPr>
                <w:rFonts w:hint="eastAsia" w:ascii="宋体" w:hAnsi="宋体" w:cs="宋体"/>
                <w:bCs/>
                <w:color w:val="auto"/>
                <w:sz w:val="24"/>
                <w:highlight w:val="none"/>
                <w:lang w:bidi="ar"/>
              </w:rPr>
              <w:t xml:space="preserve">）</w:t>
            </w:r>
            <w:r/>
          </w:p>
        </w:tc>
      </w:tr>
      <w:tr>
        <w:trPr>
          <w:trHeight w:val="2505"/>
        </w:trPr>
        <w:tc>
          <w:tcPr>
            <w:tcMar>
              <w:left w:w="15" w:type="dxa"/>
              <w:top w:w="15" w:type="dxa"/>
              <w:right w:w="15" w:type="dxa"/>
            </w:tcMar>
            <w:tcW w:w="1573" w:type="dxa"/>
            <w:vAlign w:val="center"/>
            <w:textDirection w:val="lrTb"/>
            <w:noWrap w:val="false"/>
          </w:tcPr>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技术指标</w:t>
            </w:r>
            <w:r/>
          </w:p>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w:t>
            </w:r>
            <w:r>
              <w:rPr>
                <w:rFonts w:hint="eastAsia" w:ascii="宋体" w:hAnsi="宋体" w:cs="宋体"/>
                <w:b/>
                <w:color w:val="auto"/>
                <w:sz w:val="24"/>
                <w:highlight w:val="none"/>
                <w:lang w:val="en-US" w:eastAsia="zh-CN" w:bidi="ar"/>
              </w:rPr>
              <w:t xml:space="preserve">26</w:t>
            </w:r>
            <w:r>
              <w:rPr>
                <w:rFonts w:hint="eastAsia" w:ascii="宋体" w:hAnsi="宋体" w:cs="宋体"/>
                <w:b/>
                <w:color w:val="auto"/>
                <w:sz w:val="24"/>
                <w:highlight w:val="none"/>
                <w:lang w:bidi="ar"/>
              </w:rPr>
              <w:t xml:space="preserve">分）</w:t>
            </w:r>
            <w:r/>
          </w:p>
        </w:tc>
        <w:tc>
          <w:tcPr>
            <w:tcMar>
              <w:left w:w="15" w:type="dxa"/>
              <w:top w:w="15" w:type="dxa"/>
              <w:right w:w="15" w:type="dxa"/>
            </w:tcMar>
            <w:tcW w:w="7967" w:type="dxa"/>
            <w:vAlign w:val="center"/>
            <w:textDirection w:val="lrTb"/>
            <w:noWrap w:val="false"/>
          </w:tcPr>
          <w:p>
            <w:pPr>
              <w:ind w:firstLine="480"/>
              <w:jc w:val="left"/>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1.由评标委员会根据投标人对投标产品的响应情况进行打分，全部响应采购文件“技术</w:t>
            </w:r>
            <w:r>
              <w:rPr>
                <w:rFonts w:hint="eastAsia" w:ascii="宋体" w:hAnsi="宋体" w:cs="宋体"/>
                <w:color w:val="auto"/>
                <w:sz w:val="24"/>
                <w:highlight w:val="none"/>
                <w:lang w:val="en-US" w:eastAsia="zh-CN"/>
              </w:rPr>
              <w:t xml:space="preserve">参数</w:t>
            </w:r>
            <w:r>
              <w:rPr>
                <w:rFonts w:hint="eastAsia" w:ascii="宋体" w:hAnsi="宋体" w:cs="宋体"/>
                <w:color w:val="auto"/>
                <w:sz w:val="24"/>
                <w:highlight w:val="none"/>
              </w:rPr>
              <w:t xml:space="preserve">要求”的得满分</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分；</w:t>
            </w:r>
            <w:r/>
          </w:p>
          <w:p>
            <w:pPr>
              <w:ind w:firstLine="480"/>
              <w:jc w:val="left"/>
              <w:spacing w:line="360" w:lineRule="exact"/>
              <w:rPr>
                <w:rFonts w:hint="eastAsia" w:ascii="宋体" w:hAnsi="宋体" w:cs="宋体"/>
                <w:color w:val="auto"/>
                <w:sz w:val="24"/>
                <w:highlight w:val="none"/>
              </w:rPr>
            </w:pPr>
            <w:r/>
            <w:bookmarkStart w:id="178" w:name="OLE_LINK33"/>
            <w:r>
              <w:rPr>
                <w:rFonts w:hint="eastAsia" w:ascii="宋体" w:hAnsi="宋体" w:cs="宋体"/>
                <w:color w:val="auto"/>
                <w:sz w:val="24"/>
                <w:highlight w:val="none"/>
              </w:rPr>
              <w:t xml:space="preserve">2.采购文件“技术</w:t>
            </w:r>
            <w:r>
              <w:rPr>
                <w:rFonts w:hint="eastAsia" w:ascii="宋体" w:hAnsi="宋体" w:cs="宋体"/>
                <w:color w:val="auto"/>
                <w:sz w:val="24"/>
                <w:highlight w:val="none"/>
                <w:lang w:val="en-US" w:eastAsia="zh-CN"/>
              </w:rPr>
              <w:t xml:space="preserve">参数</w:t>
            </w:r>
            <w:r>
              <w:rPr>
                <w:rFonts w:hint="eastAsia" w:ascii="宋体" w:hAnsi="宋体" w:cs="宋体"/>
                <w:color w:val="auto"/>
                <w:sz w:val="24"/>
                <w:highlight w:val="none"/>
              </w:rPr>
              <w:t xml:space="preserve">要求”中标注“▲”的条款（共</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项）有1项满足（符合或超出）的，加</w:t>
            </w:r>
            <w:r>
              <w:rPr>
                <w:rFonts w:hint="eastAsia" w:ascii="宋体" w:hAnsi="宋体" w:cs="宋体"/>
                <w:color w:val="auto"/>
                <w:sz w:val="24"/>
                <w:highlight w:val="none"/>
                <w:lang w:val="en-US" w:eastAsia="zh-CN"/>
              </w:rPr>
              <w:t xml:space="preserve">1.25</w:t>
            </w:r>
            <w:r>
              <w:rPr>
                <w:rFonts w:hint="eastAsia" w:ascii="宋体" w:hAnsi="宋体" w:cs="宋体"/>
                <w:color w:val="auto"/>
                <w:sz w:val="24"/>
                <w:highlight w:val="none"/>
              </w:rPr>
              <w:t xml:space="preserve">分，本项最高得</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分；采购文件“技术</w:t>
            </w:r>
            <w:r>
              <w:rPr>
                <w:rFonts w:hint="eastAsia" w:ascii="宋体" w:hAnsi="宋体" w:cs="宋体"/>
                <w:color w:val="auto"/>
                <w:sz w:val="24"/>
                <w:highlight w:val="none"/>
                <w:lang w:val="en-US" w:eastAsia="zh-CN"/>
              </w:rPr>
              <w:t xml:space="preserve">参数</w:t>
            </w:r>
            <w:r>
              <w:rPr>
                <w:rFonts w:hint="eastAsia" w:ascii="宋体" w:hAnsi="宋体" w:cs="宋体"/>
                <w:color w:val="auto"/>
                <w:sz w:val="24"/>
                <w:highlight w:val="none"/>
              </w:rPr>
              <w:t xml:space="preserve">要求”中的其他条款（共</w:t>
            </w:r>
            <w:r>
              <w:rPr>
                <w:rFonts w:hint="eastAsia" w:ascii="宋体" w:hAnsi="宋体" w:cs="宋体"/>
                <w:color w:val="auto"/>
                <w:sz w:val="24"/>
                <w:highlight w:val="none"/>
                <w:lang w:val="en-US" w:eastAsia="zh-CN"/>
              </w:rPr>
              <w:t xml:space="preserve">300</w:t>
            </w:r>
            <w:r>
              <w:rPr>
                <w:rFonts w:hint="eastAsia" w:ascii="宋体" w:hAnsi="宋体" w:cs="宋体"/>
                <w:color w:val="auto"/>
                <w:sz w:val="24"/>
                <w:highlight w:val="none"/>
              </w:rPr>
              <w:t xml:space="preserve">项），有1项满足（符合或超出）的，加0.</w:t>
            </w:r>
            <w:r>
              <w:rPr>
                <w:rFonts w:hint="eastAsia" w:ascii="宋体" w:hAnsi="宋体" w:cs="宋体"/>
                <w:color w:val="auto"/>
                <w:sz w:val="24"/>
                <w:highlight w:val="none"/>
                <w:lang w:val="en-US" w:eastAsia="zh-CN"/>
              </w:rPr>
              <w:t xml:space="preserve">02</w:t>
            </w:r>
            <w:r>
              <w:rPr>
                <w:rFonts w:hint="eastAsia" w:ascii="宋体" w:hAnsi="宋体" w:cs="宋体"/>
                <w:color w:val="auto"/>
                <w:sz w:val="24"/>
                <w:highlight w:val="none"/>
              </w:rPr>
              <w:t xml:space="preserve">分，本项最高得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bookmarkEnd w:id="178"/>
            <w:r/>
            <w:r/>
          </w:p>
          <w:p>
            <w:pPr>
              <w:jc w:val="left"/>
              <w:keepLines w:val="0"/>
              <w:keepNext w:val="0"/>
              <w:pageBreakBefore w:val="0"/>
              <w:spacing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说明:</w:t>
            </w:r>
            <w:r/>
          </w:p>
          <w:p>
            <w:pPr>
              <w:ind w:firstLine="480"/>
              <w:jc w:val="left"/>
              <w:keepLines w:val="0"/>
              <w:keepNext w:val="0"/>
              <w:pageBreakBefore w:val="0"/>
              <w:spacing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rPr>
                <w:rFonts w:hint="eastAsia" w:ascii="宋体" w:hAnsi="宋体" w:eastAsia="宋体" w:cs="宋体"/>
                <w:bCs/>
                <w:color w:val="auto"/>
                <w:sz w:val="24"/>
                <w:szCs w:val="24"/>
                <w:highlight w:val="none"/>
                <w:lang w:val="en-US" w:eastAsia="zh-CN" w:bidi="ar"/>
              </w:rPr>
              <w:t xml:space="preserve">1</w:t>
            </w:r>
            <w:r>
              <w:rPr>
                <w:rFonts w:hint="eastAsia" w:ascii="宋体" w:hAnsi="宋体" w:eastAsia="宋体" w:cs="宋体"/>
                <w:bCs/>
                <w:color w:val="auto"/>
                <w:sz w:val="24"/>
                <w:szCs w:val="24"/>
                <w:highlight w:val="none"/>
                <w:lang w:bidi="ar"/>
              </w:rPr>
              <w:t xml:space="preserve">）“项目需求”技术参数要求中明确要求提供证明材料的以证明材料加盖投标人公章为准，未作要求的以投标人提供的《技术要求响应情况表》为准。</w:t>
            </w:r>
            <w:r/>
          </w:p>
          <w:p>
            <w:pPr>
              <w:numPr>
                <w:ilvl w:val="0"/>
                <w:numId w:val="0"/>
              </w:numPr>
              <w:ind w:firstLine="480"/>
              <w:jc w:val="left"/>
              <w:spacing w:line="400" w:lineRule="exact"/>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w:t>
            </w:r>
            <w:r>
              <w:rPr>
                <w:rFonts w:hint="eastAsia" w:ascii="宋体" w:hAnsi="宋体" w:eastAsia="宋体" w:cs="宋体"/>
                <w:bCs/>
                <w:color w:val="auto"/>
                <w:sz w:val="24"/>
                <w:szCs w:val="24"/>
                <w:highlight w:val="none"/>
                <w:lang w:val="en-US" w:eastAsia="zh-CN" w:bidi="ar"/>
              </w:rPr>
              <w:t xml:space="preserve">2</w:t>
            </w:r>
            <w:r>
              <w:rPr>
                <w:rFonts w:hint="eastAsia" w:ascii="宋体" w:hAnsi="宋体" w:eastAsia="宋体" w:cs="宋体"/>
                <w:bCs/>
                <w:color w:val="auto"/>
                <w:sz w:val="24"/>
                <w:szCs w:val="24"/>
                <w:highlight w:val="none"/>
                <w:lang w:bidi="ar"/>
              </w:rPr>
              <w:t xml:space="preserve">）对通过提供虚假材料谋取中标的，货到验收技术参数与投标文件不符时，采购方可以拒收货、拒付款，并且供货方必须承担相应的法律责任。</w:t>
            </w:r>
            <w:r/>
          </w:p>
        </w:tc>
      </w:tr>
      <w:tr>
        <w:trPr>
          <w:trHeight w:val="5286"/>
        </w:trPr>
        <w:tc>
          <w:tcPr>
            <w:tcMar>
              <w:left w:w="15" w:type="dxa"/>
              <w:top w:w="15" w:type="dxa"/>
              <w:right w:w="15" w:type="dxa"/>
            </w:tcMar>
            <w:tcW w:w="157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b/>
                <w:color w:val="auto"/>
                <w:sz w:val="24"/>
                <w:highlight w:val="none"/>
                <w:lang w:bidi="ar"/>
              </w:rPr>
              <w:t xml:space="preserve">服务方案</w:t>
            </w:r>
            <w:r>
              <w:rPr>
                <w:rFonts w:hint="eastAsia" w:ascii="宋体" w:hAnsi="宋体" w:cs="宋体"/>
                <w:b/>
                <w:color w:val="auto"/>
                <w:sz w:val="24"/>
                <w:highlight w:val="none"/>
                <w:lang w:bidi="ar"/>
              </w:rPr>
              <w:br w:type="textWrapping" w:clear="all"/>
            </w:r>
            <w:r>
              <w:rPr>
                <w:rFonts w:hint="eastAsia" w:ascii="宋体" w:hAnsi="宋体" w:cs="宋体"/>
                <w:b/>
                <w:color w:val="auto"/>
                <w:sz w:val="24"/>
                <w:highlight w:val="none"/>
                <w:lang w:bidi="ar"/>
              </w:rPr>
              <w:t xml:space="preserve">（</w:t>
            </w:r>
            <w:r>
              <w:rPr>
                <w:rFonts w:hint="eastAsia" w:ascii="宋体" w:hAnsi="宋体" w:cs="宋体"/>
                <w:b/>
                <w:color w:val="auto"/>
                <w:sz w:val="24"/>
                <w:highlight w:val="none"/>
                <w:lang w:val="en-US" w:eastAsia="zh-CN" w:bidi="ar"/>
              </w:rPr>
              <w:t xml:space="preserve">9</w:t>
            </w:r>
            <w:r>
              <w:rPr>
                <w:rFonts w:hint="eastAsia" w:ascii="宋体" w:hAnsi="宋体" w:cs="宋体"/>
                <w:b/>
                <w:color w:val="auto"/>
                <w:sz w:val="24"/>
                <w:highlight w:val="none"/>
                <w:lang w:bidi="ar"/>
              </w:rPr>
              <w:t xml:space="preserve">分）</w:t>
            </w:r>
            <w:r/>
          </w:p>
        </w:tc>
        <w:tc>
          <w:tcPr>
            <w:tcMar>
              <w:left w:w="15" w:type="dxa"/>
              <w:top w:w="15" w:type="dxa"/>
              <w:right w:w="15" w:type="dxa"/>
            </w:tcMar>
            <w:tcW w:w="7967" w:type="dxa"/>
            <w:vAlign w:val="top"/>
            <w:textDirection w:val="lrTb"/>
            <w:noWrap w:val="false"/>
          </w:tcPr>
          <w:p>
            <w:pPr>
              <w:ind w:firstLine="480"/>
              <w:jc w:val="left"/>
              <w:keepLines w:val="0"/>
              <w:keepNext w:val="0"/>
              <w:pageBreakBefore w:val="0"/>
              <w:spacing w:line="360" w:lineRule="auto"/>
              <w:widowControl/>
              <w:rPr>
                <w:rFonts w:hint="eastAsia" w:ascii="宋体" w:hAnsi="宋体" w:cs="宋体"/>
                <w:bCs/>
                <w:color w:val="auto"/>
                <w:sz w:val="24"/>
                <w:highlight w:val="none"/>
                <w:lang w:bidi="ar"/>
              </w:rPr>
              <w:outlineLvl w:val="3"/>
            </w:pPr>
            <w:r>
              <w:rPr>
                <w:rFonts w:hint="eastAsia" w:ascii="宋体" w:hAnsi="宋体" w:cs="宋体"/>
                <w:bCs/>
                <w:color w:val="auto"/>
                <w:sz w:val="24"/>
                <w:highlight w:val="none"/>
                <w:lang w:bidi="ar"/>
              </w:rPr>
              <w:t xml:space="preserve">1、</w:t>
            </w:r>
            <w:bookmarkStart w:id="179" w:name="OLE_LINK61"/>
            <w:r/>
            <w:bookmarkStart w:id="180" w:name="OLE_LINK62"/>
            <w:r/>
            <w:bookmarkStart w:id="181" w:name="OLE_LINK77"/>
            <w:r/>
            <w:bookmarkStart w:id="182" w:name="OLE_LINK78"/>
            <w:r>
              <w:rPr>
                <w:rFonts w:hint="eastAsia" w:ascii="宋体" w:hAnsi="宋体" w:cs="宋体"/>
                <w:bCs/>
                <w:color w:val="auto"/>
                <w:sz w:val="24"/>
                <w:highlight w:val="none"/>
                <w:lang w:bidi="ar"/>
              </w:rPr>
              <w:t xml:space="preserve">投标人根据本项目采购需求中“项目实施方案要求”，提供科学合理的项目实施方案</w:t>
            </w:r>
            <w:r>
              <w:rPr>
                <w:rFonts w:hint="eastAsia" w:ascii="宋体" w:hAnsi="宋体" w:eastAsia="宋体" w:cs="宋体"/>
                <w:color w:val="auto"/>
                <w:sz w:val="24"/>
                <w:highlight w:val="none"/>
                <w:lang w:bidi="ar"/>
              </w:rPr>
              <w:t xml:space="preserve">。</w:t>
            </w:r>
            <w:r>
              <w:rPr>
                <w:rFonts w:hint="eastAsia" w:ascii="宋体" w:hAnsi="宋体" w:cs="宋体"/>
                <w:bCs/>
                <w:color w:val="auto"/>
                <w:sz w:val="24"/>
                <w:highlight w:val="none"/>
                <w:lang w:bidi="ar"/>
              </w:rPr>
              <w:t xml:space="preserve">方案至少包含：①</w:t>
            </w:r>
            <w:r>
              <w:rPr>
                <w:rFonts w:hint="eastAsia" w:ascii="宋体" w:hAnsi="宋体" w:eastAsia="Arial" w:cs="宋体"/>
                <w:b w:val="0"/>
                <w:bCs w:val="0"/>
                <w:color w:val="auto"/>
                <w:sz w:val="24"/>
                <w:szCs w:val="20"/>
                <w:highlight w:val="none"/>
              </w:rPr>
              <w:t xml:space="preserve">需求分析</w:t>
            </w:r>
            <w:r>
              <w:rPr>
                <w:rFonts w:hint="eastAsia" w:ascii="宋体" w:hAnsi="宋体" w:cs="宋体"/>
                <w:bCs/>
                <w:color w:val="auto"/>
                <w:sz w:val="24"/>
                <w:highlight w:val="none"/>
                <w:lang w:bidi="ar"/>
              </w:rPr>
              <w:t xml:space="preserve">②</w:t>
            </w:r>
            <w:r>
              <w:rPr>
                <w:rFonts w:hint="eastAsia" w:ascii="宋体" w:hAnsi="宋体" w:eastAsia="Arial" w:cs="宋体"/>
                <w:b w:val="0"/>
                <w:bCs w:val="0"/>
                <w:color w:val="auto"/>
                <w:sz w:val="24"/>
                <w:szCs w:val="20"/>
                <w:highlight w:val="none"/>
              </w:rPr>
              <w:t xml:space="preserve">组织架构及实施步骤</w:t>
            </w:r>
            <w:r>
              <w:rPr>
                <w:rFonts w:hint="eastAsia" w:ascii="宋体" w:hAnsi="宋体" w:cs="宋体"/>
                <w:bCs/>
                <w:color w:val="auto"/>
                <w:sz w:val="24"/>
                <w:highlight w:val="none"/>
                <w:lang w:bidi="ar"/>
              </w:rPr>
              <w:t xml:space="preserve">③</w:t>
            </w:r>
            <w:r>
              <w:rPr>
                <w:rFonts w:hint="eastAsia" w:ascii="宋体" w:hAnsi="宋体" w:eastAsia="Arial" w:cs="宋体"/>
                <w:b w:val="0"/>
                <w:bCs w:val="0"/>
                <w:color w:val="auto"/>
                <w:sz w:val="24"/>
                <w:szCs w:val="20"/>
                <w:highlight w:val="none"/>
              </w:rPr>
              <w:t xml:space="preserve">项目实施计划及时间进度安排</w:t>
            </w:r>
            <w:r>
              <w:rPr>
                <w:rFonts w:hint="eastAsia" w:ascii="宋体" w:hAnsi="宋体" w:eastAsia="宋体" w:cs="宋体"/>
                <w:b w:val="0"/>
                <w:bCs w:val="0"/>
                <w:color w:val="auto"/>
                <w:sz w:val="24"/>
                <w:szCs w:val="20"/>
                <w:highlight w:val="none"/>
                <w:lang w:val="en-US" w:eastAsia="zh-CN"/>
              </w:rPr>
              <w:t xml:space="preserve">等内容。</w:t>
            </w:r>
            <w:r>
              <w:rPr>
                <w:rFonts w:hint="eastAsia" w:ascii="宋体" w:hAnsi="宋体" w:cs="宋体"/>
                <w:bCs/>
                <w:color w:val="auto"/>
                <w:sz w:val="24"/>
                <w:highlight w:val="none"/>
                <w:lang w:bidi="ar"/>
              </w:rPr>
              <w:t xml:space="preserve">方案优于要求的得</w:t>
            </w:r>
            <w:r>
              <w:rPr>
                <w:rFonts w:hint="eastAsia" w:ascii="宋体" w:hAnsi="宋体" w:cs="宋体"/>
                <w:bCs/>
                <w:color w:val="auto"/>
                <w:sz w:val="24"/>
                <w:highlight w:val="none"/>
                <w:lang w:val="en-US" w:eastAsia="zh-CN" w:bidi="ar"/>
              </w:rPr>
              <w:t xml:space="preserve">2</w:t>
            </w:r>
            <w:r>
              <w:rPr>
                <w:rFonts w:hint="eastAsia" w:ascii="宋体" w:hAnsi="宋体" w:cs="宋体"/>
                <w:bCs/>
                <w:color w:val="auto"/>
                <w:sz w:val="24"/>
                <w:highlight w:val="none"/>
                <w:lang w:bidi="ar"/>
              </w:rPr>
              <w:t xml:space="preserve">分，符合要求得</w:t>
            </w:r>
            <w:r>
              <w:rPr>
                <w:rFonts w:hint="eastAsia" w:ascii="宋体" w:hAnsi="宋体" w:cs="宋体"/>
                <w:bCs/>
                <w:color w:val="auto"/>
                <w:sz w:val="24"/>
                <w:highlight w:val="none"/>
                <w:lang w:val="en-US" w:eastAsia="zh-CN" w:bidi="ar"/>
              </w:rPr>
              <w:t xml:space="preserve">1</w:t>
            </w:r>
            <w:r>
              <w:rPr>
                <w:rFonts w:hint="eastAsia" w:ascii="宋体" w:hAnsi="宋体" w:cs="宋体"/>
                <w:bCs/>
                <w:color w:val="auto"/>
                <w:sz w:val="24"/>
                <w:highlight w:val="none"/>
                <w:lang w:bidi="ar"/>
              </w:rPr>
              <w:t xml:space="preserve">分，不符合要求或未提供的不得分。</w:t>
            </w:r>
            <w:bookmarkEnd w:id="179"/>
            <w:r/>
            <w:bookmarkEnd w:id="180"/>
            <w:r/>
            <w:r/>
          </w:p>
          <w:p>
            <w:pPr>
              <w:ind w:firstLine="480"/>
              <w:jc w:val="left"/>
              <w:spacing w:line="400" w:lineRule="exact"/>
              <w:widowControl/>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81"/>
            <w:r/>
            <w:bookmarkEnd w:id="182"/>
            <w:r>
              <w:rPr>
                <w:rFonts w:hint="eastAsia" w:ascii="宋体" w:hAnsi="宋体" w:cs="宋体"/>
                <w:bCs/>
                <w:color w:val="auto"/>
                <w:sz w:val="24"/>
                <w:highlight w:val="none"/>
                <w:lang w:bidi="ar"/>
              </w:rPr>
              <w:t xml:space="preserve">。</w:t>
            </w:r>
            <w:r/>
          </w:p>
          <w:p>
            <w:pPr>
              <w:ind w:firstLine="480"/>
              <w:jc w:val="left"/>
              <w:spacing w:line="400" w:lineRule="exact"/>
              <w:widowControl/>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2、投标人根据本项目第四章采购需求中“培训方案要求”，提供科学合理的培训服务方案，方案至少包含：①</w:t>
            </w:r>
            <w:r>
              <w:rPr>
                <w:rFonts w:hint="eastAsia" w:ascii="宋体" w:hAnsi="宋体" w:cs="宋体"/>
                <w:bCs/>
                <w:color w:val="auto"/>
                <w:sz w:val="24"/>
                <w:highlight w:val="none"/>
                <w:lang w:val="zh-CN" w:bidi="ar"/>
              </w:rPr>
              <w:t xml:space="preserve">培训目的</w:t>
            </w:r>
            <w:r>
              <w:rPr>
                <w:rFonts w:hint="eastAsia" w:ascii="宋体" w:hAnsi="宋体" w:cs="宋体"/>
                <w:bCs/>
                <w:color w:val="auto"/>
                <w:sz w:val="24"/>
                <w:highlight w:val="none"/>
                <w:lang w:bidi="ar"/>
              </w:rPr>
              <w:t xml:space="preserve">、②</w:t>
            </w:r>
            <w:r>
              <w:rPr>
                <w:rFonts w:hint="eastAsia" w:ascii="宋体" w:hAnsi="宋体" w:cs="宋体"/>
                <w:bCs/>
                <w:color w:val="auto"/>
                <w:sz w:val="24"/>
                <w:highlight w:val="none"/>
                <w:lang w:val="zh-CN" w:bidi="ar"/>
              </w:rPr>
              <w:t xml:space="preserve">培训服务原则</w:t>
            </w:r>
            <w:r>
              <w:rPr>
                <w:rFonts w:hint="eastAsia" w:ascii="宋体" w:hAnsi="宋体" w:cs="宋体"/>
                <w:bCs/>
                <w:color w:val="auto"/>
                <w:sz w:val="24"/>
                <w:highlight w:val="none"/>
                <w:lang w:bidi="ar"/>
              </w:rPr>
              <w:t xml:space="preserve">、③</w:t>
            </w:r>
            <w:r>
              <w:rPr>
                <w:rFonts w:hint="eastAsia" w:ascii="宋体" w:hAnsi="宋体" w:cs="宋体"/>
                <w:bCs/>
                <w:color w:val="auto"/>
                <w:sz w:val="24"/>
                <w:highlight w:val="none"/>
                <w:lang w:val="zh-CN" w:bidi="ar"/>
              </w:rPr>
              <w:t xml:space="preserve">培训质量保障</w:t>
            </w:r>
            <w:r>
              <w:rPr>
                <w:rFonts w:hint="eastAsia" w:ascii="宋体" w:hAnsi="宋体" w:cs="宋体"/>
                <w:bCs/>
                <w:color w:val="auto"/>
                <w:sz w:val="24"/>
                <w:highlight w:val="none"/>
                <w:lang w:bidi="ar"/>
              </w:rPr>
              <w:t xml:space="preserve">、④</w:t>
            </w:r>
            <w:r>
              <w:rPr>
                <w:rFonts w:hint="eastAsia" w:ascii="宋体" w:hAnsi="宋体" w:cs="宋体"/>
                <w:bCs/>
                <w:color w:val="auto"/>
                <w:sz w:val="24"/>
                <w:highlight w:val="none"/>
                <w:lang w:val="zh-CN" w:bidi="ar"/>
              </w:rPr>
              <w:t xml:space="preserve">培训时间计划</w:t>
            </w:r>
            <w:r>
              <w:rPr>
                <w:rFonts w:hint="eastAsia" w:ascii="宋体" w:hAnsi="宋体" w:cs="宋体"/>
                <w:bCs/>
                <w:color w:val="auto"/>
                <w:sz w:val="24"/>
                <w:highlight w:val="none"/>
                <w:lang w:bidi="ar"/>
              </w:rPr>
              <w:t xml:space="preserve">、⑤</w:t>
            </w:r>
            <w:r>
              <w:rPr>
                <w:rFonts w:hint="eastAsia" w:ascii="宋体" w:hAnsi="宋体" w:cs="宋体"/>
                <w:bCs/>
                <w:color w:val="auto"/>
                <w:sz w:val="24"/>
                <w:highlight w:val="none"/>
                <w:lang w:val="zh-CN" w:bidi="ar"/>
              </w:rPr>
              <w:t xml:space="preserve">培训内容</w:t>
            </w:r>
            <w:r>
              <w:rPr>
                <w:rFonts w:hint="eastAsia" w:ascii="宋体" w:hAnsi="宋体" w:cs="宋体"/>
                <w:bCs/>
                <w:color w:val="auto"/>
                <w:sz w:val="24"/>
                <w:highlight w:val="none"/>
                <w:lang w:bidi="ar"/>
              </w:rPr>
              <w:t xml:space="preserve">方案等内容。方案优于要求的得</w:t>
            </w:r>
            <w:r>
              <w:rPr>
                <w:rFonts w:hint="eastAsia" w:ascii="宋体" w:hAnsi="宋体" w:cs="宋体"/>
                <w:bCs/>
                <w:color w:val="auto"/>
                <w:sz w:val="24"/>
                <w:highlight w:val="none"/>
                <w:lang w:val="en-US" w:eastAsia="zh-CN" w:bidi="ar"/>
              </w:rPr>
              <w:t xml:space="preserve">2</w:t>
            </w:r>
            <w:r>
              <w:rPr>
                <w:rFonts w:hint="eastAsia" w:ascii="宋体" w:hAnsi="宋体" w:cs="宋体"/>
                <w:bCs/>
                <w:color w:val="auto"/>
                <w:sz w:val="24"/>
                <w:highlight w:val="none"/>
                <w:lang w:bidi="ar"/>
              </w:rPr>
              <w:t xml:space="preserve">分，符合要求得</w:t>
            </w:r>
            <w:r>
              <w:rPr>
                <w:rFonts w:hint="eastAsia" w:ascii="宋体" w:hAnsi="宋体" w:cs="宋体"/>
                <w:bCs/>
                <w:color w:val="auto"/>
                <w:sz w:val="24"/>
                <w:highlight w:val="none"/>
                <w:lang w:val="en-US" w:eastAsia="zh-CN" w:bidi="ar"/>
              </w:rPr>
              <w:t xml:space="preserve">1</w:t>
            </w:r>
            <w:r>
              <w:rPr>
                <w:rFonts w:hint="eastAsia" w:ascii="宋体" w:hAnsi="宋体" w:cs="宋体"/>
                <w:bCs/>
                <w:color w:val="auto"/>
                <w:sz w:val="24"/>
                <w:highlight w:val="none"/>
                <w:lang w:bidi="ar"/>
              </w:rPr>
              <w:t xml:space="preserve">分，不符合要求或未提供的不得分。</w:t>
            </w:r>
            <w:r/>
          </w:p>
          <w:p>
            <w:pPr>
              <w:ind w:firstLine="480"/>
              <w:jc w:val="left"/>
              <w:spacing w:line="400" w:lineRule="exact"/>
              <w:widowControl/>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jc w:val="left"/>
              <w:spacing w:line="400" w:lineRule="exact"/>
              <w:widowControl/>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3、</w:t>
            </w:r>
            <w:bookmarkStart w:id="183" w:name="OLE_LINK60"/>
            <w:r/>
            <w:bookmarkStart w:id="184" w:name="OLE_LINK104"/>
            <w:r/>
            <w:bookmarkStart w:id="185" w:name="OLE_LINK59"/>
            <w:r/>
            <w:bookmarkStart w:id="186" w:name="OLE_LINK105"/>
            <w:r>
              <w:rPr>
                <w:rFonts w:hint="eastAsia" w:ascii="宋体" w:hAnsi="宋体" w:cs="宋体"/>
                <w:bCs/>
                <w:color w:val="auto"/>
                <w:sz w:val="24"/>
                <w:highlight w:val="none"/>
                <w:lang w:bidi="ar"/>
              </w:rPr>
              <w:t xml:space="preserve">投标人根据本项目第四章采购需求中“售后服务要求”，提供科学合理的售后服务方案，方案至少包含：①售后服务目标和内容、②售后服务承诺和保证、③售后服务队伍方案等内容。方案优于要求的得</w:t>
            </w:r>
            <w:r>
              <w:rPr>
                <w:rFonts w:hint="eastAsia" w:ascii="宋体" w:hAnsi="宋体" w:cs="宋体"/>
                <w:bCs/>
                <w:color w:val="auto"/>
                <w:sz w:val="24"/>
                <w:highlight w:val="none"/>
                <w:lang w:val="en-US" w:eastAsia="zh-CN" w:bidi="ar"/>
              </w:rPr>
              <w:t xml:space="preserve">2</w:t>
            </w:r>
            <w:r>
              <w:rPr>
                <w:rFonts w:hint="eastAsia" w:ascii="宋体" w:hAnsi="宋体" w:cs="宋体"/>
                <w:bCs/>
                <w:color w:val="auto"/>
                <w:sz w:val="24"/>
                <w:highlight w:val="none"/>
                <w:lang w:bidi="ar"/>
              </w:rPr>
              <w:t xml:space="preserve">分，符合要求得</w:t>
            </w:r>
            <w:r>
              <w:rPr>
                <w:rFonts w:hint="eastAsia" w:ascii="宋体" w:hAnsi="宋体" w:cs="宋体"/>
                <w:bCs/>
                <w:color w:val="auto"/>
                <w:sz w:val="24"/>
                <w:highlight w:val="none"/>
                <w:lang w:val="en-US" w:eastAsia="zh-CN" w:bidi="ar"/>
              </w:rPr>
              <w:t xml:space="preserve">1</w:t>
            </w:r>
            <w:r>
              <w:rPr>
                <w:rFonts w:hint="eastAsia" w:ascii="宋体" w:hAnsi="宋体" w:cs="宋体"/>
                <w:bCs/>
                <w:color w:val="auto"/>
                <w:sz w:val="24"/>
                <w:highlight w:val="none"/>
                <w:lang w:bidi="ar"/>
              </w:rPr>
              <w:t xml:space="preserve">分，不符合要求或未提供的不得分。</w:t>
            </w:r>
            <w:r/>
          </w:p>
          <w:p>
            <w:pPr>
              <w:ind w:firstLine="480"/>
              <w:jc w:val="left"/>
              <w:spacing w:line="400" w:lineRule="exact"/>
              <w:widowControl/>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bookmarkEnd w:id="183"/>
            <w:r/>
            <w:bookmarkEnd w:id="184"/>
            <w:r/>
            <w:bookmarkEnd w:id="185"/>
            <w:r/>
            <w:bookmarkEnd w:id="186"/>
            <w:r/>
            <w:r/>
          </w:p>
          <w:p>
            <w:pPr>
              <w:ind w:firstLine="480"/>
              <w:jc w:val="left"/>
              <w:spacing w:line="360" w:lineRule="auto"/>
              <w:widowControl/>
              <w:rPr>
                <w:rFonts w:hint="eastAsia" w:ascii="宋体" w:hAnsi="宋体" w:eastAsia="宋体" w:cs="宋体"/>
                <w:color w:val="auto"/>
                <w:sz w:val="24"/>
                <w:highlight w:val="none"/>
                <w:lang w:val="en-US" w:eastAsia="zh-CN" w:bidi="ar"/>
              </w:rPr>
            </w:pPr>
            <w:r>
              <w:rPr>
                <w:rFonts w:hint="eastAsia" w:ascii="宋体" w:hAnsi="宋体" w:cs="宋体"/>
                <w:bCs/>
                <w:color w:val="auto"/>
                <w:sz w:val="24"/>
                <w:highlight w:val="none"/>
                <w:lang w:val="en-US" w:eastAsia="zh-CN" w:bidi="ar"/>
              </w:rPr>
              <w:t xml:space="preserve">4、</w:t>
            </w:r>
            <w:r>
              <w:rPr>
                <w:rFonts w:hint="eastAsia" w:ascii="宋体" w:hAnsi="宋体" w:eastAsia="宋体" w:cs="宋体"/>
                <w:color w:val="auto"/>
                <w:sz w:val="24"/>
                <w:highlight w:val="none"/>
                <w:lang w:val="en-US" w:eastAsia="zh-CN" w:bidi="ar"/>
              </w:rPr>
              <w:t xml:space="preserve">投标人根据本项目第</w:t>
            </w:r>
            <w:r>
              <w:rPr>
                <w:rFonts w:hint="eastAsia" w:ascii="宋体" w:hAnsi="宋体" w:cs="宋体"/>
                <w:bCs/>
                <w:color w:val="auto"/>
                <w:sz w:val="24"/>
                <w:highlight w:val="none"/>
                <w:lang w:bidi="ar"/>
              </w:rPr>
              <w:t xml:space="preserve">四章采购需求中</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val="en-US" w:eastAsia="zh-CN" w:bidi="ar"/>
              </w:rPr>
              <w:t xml:space="preserve">重点难点分析</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val="en-US" w:eastAsia="zh-CN" w:bidi="ar"/>
              </w:rPr>
              <w:t xml:space="preserve">提供满足项目需求的重点难点分析方案，方案内容至少包含：</w:t>
            </w:r>
            <w:r>
              <w:rPr>
                <w:rFonts w:hint="eastAsia" w:ascii="宋体" w:hAnsi="宋体" w:cs="宋体"/>
                <w:bCs/>
                <w:color w:val="auto"/>
                <w:sz w:val="24"/>
                <w:highlight w:val="none"/>
                <w:lang w:bidi="ar"/>
              </w:rPr>
              <w:t xml:space="preserve">①</w:t>
            </w:r>
            <w:r>
              <w:rPr>
                <w:rFonts w:hint="eastAsia" w:ascii="宋体" w:hAnsi="宋体" w:cs="宋体"/>
                <w:bCs/>
                <w:color w:val="auto"/>
                <w:sz w:val="24"/>
                <w:highlight w:val="none"/>
                <w:lang w:val="en-US" w:eastAsia="zh-CN" w:bidi="ar"/>
              </w:rPr>
              <w:t xml:space="preserve">业务系统不停机迁移安全分析、</w:t>
            </w:r>
            <w:r>
              <w:rPr>
                <w:rFonts w:hint="eastAsia" w:ascii="宋体" w:hAnsi="宋体" w:cs="宋体"/>
                <w:bCs/>
                <w:color w:val="auto"/>
                <w:sz w:val="24"/>
                <w:highlight w:val="none"/>
                <w:lang w:bidi="ar"/>
              </w:rPr>
              <w:t xml:space="preserve">②</w:t>
            </w:r>
            <w:r>
              <w:rPr>
                <w:rFonts w:hint="eastAsia" w:ascii="宋体" w:hAnsi="宋体" w:cs="宋体"/>
                <w:bCs/>
                <w:color w:val="auto"/>
                <w:sz w:val="24"/>
                <w:highlight w:val="none"/>
                <w:lang w:val="en-US" w:eastAsia="zh-CN" w:bidi="ar"/>
              </w:rPr>
              <w:t xml:space="preserve">不同虚拟化平台虚拟机迁移风险分析、</w:t>
            </w:r>
            <w:r>
              <w:rPr>
                <w:rFonts w:hint="eastAsia" w:ascii="宋体" w:hAnsi="宋体" w:cs="宋体"/>
                <w:bCs/>
                <w:color w:val="auto"/>
                <w:sz w:val="24"/>
                <w:highlight w:val="none"/>
                <w:lang w:bidi="ar"/>
              </w:rPr>
              <w:t xml:space="preserve">③</w:t>
            </w:r>
            <w:r>
              <w:rPr>
                <w:rFonts w:hint="eastAsia" w:ascii="宋体" w:hAnsi="宋体" w:cs="宋体"/>
                <w:bCs/>
                <w:color w:val="auto"/>
                <w:sz w:val="24"/>
                <w:highlight w:val="none"/>
                <w:lang w:val="en-US" w:eastAsia="zh-CN" w:bidi="ar"/>
              </w:rPr>
              <w:t xml:space="preserve">业务虚拟机备份及容灾安全分析、</w:t>
            </w:r>
            <w:r>
              <w:rPr>
                <w:rFonts w:hint="eastAsia" w:ascii="宋体" w:hAnsi="宋体" w:cs="宋体"/>
                <w:bCs/>
                <w:color w:val="auto"/>
                <w:sz w:val="24"/>
                <w:highlight w:val="none"/>
                <w:lang w:bidi="ar"/>
              </w:rPr>
              <w:t xml:space="preserve">④</w:t>
            </w:r>
            <w:r>
              <w:rPr>
                <w:rFonts w:hint="eastAsia" w:ascii="宋体" w:hAnsi="宋体" w:cs="宋体"/>
                <w:bCs/>
                <w:color w:val="auto"/>
                <w:sz w:val="24"/>
                <w:highlight w:val="none"/>
                <w:lang w:val="en-US" w:eastAsia="zh-CN" w:bidi="ar"/>
              </w:rPr>
              <w:t xml:space="preserve">核心网络设备替代及利旧设备迁移安全风险分析、</w:t>
            </w:r>
            <w:r>
              <w:rPr>
                <w:rFonts w:hint="eastAsia" w:ascii="宋体" w:hAnsi="宋体" w:cs="宋体"/>
                <w:bCs/>
                <w:color w:val="auto"/>
                <w:sz w:val="24"/>
                <w:highlight w:val="none"/>
                <w:lang w:bidi="ar"/>
              </w:rPr>
              <w:t xml:space="preserve">⑤</w:t>
            </w:r>
            <w:r>
              <w:rPr>
                <w:rFonts w:hint="eastAsia" w:ascii="宋体" w:hAnsi="宋体" w:cs="宋体"/>
                <w:bCs/>
                <w:color w:val="auto"/>
                <w:sz w:val="24"/>
                <w:highlight w:val="none"/>
                <w:lang w:val="en-US" w:eastAsia="zh-CN" w:bidi="ar"/>
              </w:rPr>
              <w:t xml:space="preserve">光网络硬隔离管道技术与逻辑隔离网络安全对比分析五项内容。</w:t>
            </w:r>
            <w:r>
              <w:rPr>
                <w:rFonts w:hint="eastAsia" w:ascii="宋体" w:hAnsi="宋体" w:cs="宋体"/>
                <w:bCs/>
                <w:color w:val="auto"/>
                <w:sz w:val="24"/>
                <w:highlight w:val="none"/>
                <w:lang w:bidi="ar"/>
              </w:rPr>
              <w:t xml:space="preserve">方案优于要求的得</w:t>
            </w:r>
            <w:r>
              <w:rPr>
                <w:rFonts w:hint="eastAsia" w:ascii="宋体" w:hAnsi="宋体" w:cs="宋体"/>
                <w:bCs/>
                <w:color w:val="auto"/>
                <w:sz w:val="24"/>
                <w:highlight w:val="none"/>
                <w:lang w:val="en-US" w:eastAsia="zh-CN" w:bidi="ar"/>
              </w:rPr>
              <w:t xml:space="preserve">3</w:t>
            </w:r>
            <w:r>
              <w:rPr>
                <w:rFonts w:hint="eastAsia" w:ascii="宋体" w:hAnsi="宋体" w:cs="宋体"/>
                <w:bCs/>
                <w:color w:val="auto"/>
                <w:sz w:val="24"/>
                <w:highlight w:val="none"/>
                <w:lang w:bidi="ar"/>
              </w:rPr>
              <w:t xml:space="preserve">分，符合要求得</w:t>
            </w:r>
            <w:r>
              <w:rPr>
                <w:rFonts w:hint="eastAsia" w:ascii="宋体" w:hAnsi="宋体" w:cs="宋体"/>
                <w:bCs/>
                <w:color w:val="auto"/>
                <w:sz w:val="24"/>
                <w:highlight w:val="none"/>
                <w:lang w:val="en-US" w:eastAsia="zh-CN" w:bidi="ar"/>
              </w:rPr>
              <w:t xml:space="preserve">1</w:t>
            </w:r>
            <w:r>
              <w:rPr>
                <w:rFonts w:hint="eastAsia" w:ascii="宋体" w:hAnsi="宋体" w:cs="宋体"/>
                <w:bCs/>
                <w:color w:val="auto"/>
                <w:sz w:val="24"/>
                <w:highlight w:val="none"/>
                <w:lang w:bidi="ar"/>
              </w:rPr>
              <w:t xml:space="preserve">分，不符合要求或未提供的不得分。</w:t>
            </w:r>
            <w:r/>
          </w:p>
          <w:p>
            <w:pPr>
              <w:ind w:firstLine="480"/>
              <w:jc w:val="left"/>
              <w:spacing w:line="400" w:lineRule="exact"/>
              <w:widowControl/>
              <w:rPr>
                <w:rFonts w:hint="eastAsia" w:ascii="宋体" w:hAnsi="宋体" w:cs="宋体" w:eastAsiaTheme="minorEastAsia"/>
                <w:bCs/>
                <w:color w:val="auto"/>
                <w:sz w:val="24"/>
                <w:highlight w:val="none"/>
                <w:lang w:val="en-US" w:eastAsia="zh-CN" w:bidi="ar"/>
              </w:rPr>
            </w:pPr>
            <w:r>
              <w:rPr>
                <w:rFonts w:hint="eastAsia" w:ascii="宋体" w:hAnsi="宋体" w:cs="宋体"/>
                <w:bCs/>
                <w:color w:val="auto"/>
                <w:sz w:val="24"/>
                <w:highlight w:val="none"/>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trHeight w:val="468"/>
        </w:trPr>
        <w:tc>
          <w:tcPr>
            <w:tcMar>
              <w:left w:w="15" w:type="dxa"/>
              <w:top w:w="15" w:type="dxa"/>
              <w:right w:w="15" w:type="dxa"/>
            </w:tcMar>
            <w:tcW w:w="1573" w:type="dxa"/>
            <w:vAlign w:val="center"/>
            <w:textDirection w:val="lrTb"/>
            <w:noWrap w:val="false"/>
          </w:tcPr>
          <w:p>
            <w:pPr>
              <w:pStyle w:val="939"/>
              <w:ind w:left="0"/>
              <w:jc w:val="center"/>
              <w:spacing w:line="400" w:lineRule="exact"/>
              <w:rPr>
                <w:rFonts w:hint="eastAsia" w:ascii="宋体" w:hAnsi="宋体" w:eastAsia="宋体" w:cs="宋体"/>
                <w:b/>
                <w:bCs/>
                <w:color w:val="auto"/>
                <w:sz w:val="24"/>
                <w:highlight w:val="none"/>
                <w:lang w:bidi="ar"/>
              </w:rPr>
            </w:pPr>
            <w:r/>
            <w:bookmarkStart w:id="210" w:name="_GoBack"/>
            <w:r>
              <w:rPr>
                <w:rFonts w:hint="eastAsia" w:ascii="宋体" w:hAnsi="宋体" w:cs="宋体"/>
                <w:b/>
                <w:bCs/>
                <w:color w:val="auto"/>
                <w:sz w:val="24"/>
                <w:highlight w:val="none"/>
                <w:lang w:val="en-US" w:eastAsia="zh-CN" w:bidi="ar"/>
              </w:rPr>
              <w:t xml:space="preserve">视频演示   </w:t>
            </w:r>
            <w:r>
              <w:rPr>
                <w:rFonts w:hint="eastAsia" w:ascii="宋体" w:hAnsi="宋体" w:eastAsia="宋体" w:cs="宋体"/>
                <w:b/>
                <w:bCs/>
                <w:color w:val="auto"/>
                <w:sz w:val="24"/>
                <w:highlight w:val="none"/>
                <w:lang w:bidi="ar"/>
              </w:rPr>
              <w:t xml:space="preserve">（</w:t>
            </w:r>
            <w:r>
              <w:rPr>
                <w:rFonts w:hint="eastAsia" w:ascii="宋体" w:hAnsi="宋体" w:cs="宋体"/>
                <w:b/>
                <w:bCs/>
                <w:color w:val="auto"/>
                <w:sz w:val="24"/>
                <w:highlight w:val="none"/>
                <w:lang w:val="en-US" w:eastAsia="zh-CN" w:bidi="ar"/>
              </w:rPr>
              <w:t xml:space="preserve">16</w:t>
            </w:r>
            <w:r>
              <w:rPr>
                <w:rFonts w:hint="eastAsia" w:ascii="宋体" w:hAnsi="宋体" w:eastAsia="宋体" w:cs="宋体"/>
                <w:b/>
                <w:bCs/>
                <w:color w:val="auto"/>
                <w:sz w:val="24"/>
                <w:highlight w:val="none"/>
                <w:lang w:bidi="ar"/>
              </w:rPr>
              <w:t xml:space="preserve">分）</w:t>
            </w:r>
            <w:r/>
          </w:p>
        </w:tc>
        <w:tc>
          <w:tcPr>
            <w:tcMar>
              <w:left w:w="15" w:type="dxa"/>
              <w:top w:w="15" w:type="dxa"/>
              <w:right w:w="15" w:type="dxa"/>
            </w:tcMar>
            <w:tcW w:w="7967" w:type="dxa"/>
            <w:vAlign w:val="center"/>
            <w:textDirection w:val="lrTb"/>
            <w:noWrap w:val="false"/>
          </w:tcPr>
          <w:p>
            <w:pPr>
              <w:ind w:firstLine="480"/>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提供演示和讲解录屏，投标供应商须在真实应用系统或DEMO系统进行录屏演示，不得使用PPT系统演示。录屏总时长不超过25分钟，每满足一项，得1分，最多得16分。</w:t>
            </w:r>
            <w:r>
              <w:rPr>
                <w:rFonts w:hint="eastAsia" w:ascii="宋体" w:hAnsi="宋体" w:eastAsia="宋体" w:cs="宋体"/>
                <w:color w:val="auto"/>
                <w:sz w:val="24"/>
                <w:highlight w:val="none"/>
                <w:lang w:val="en-US" w:eastAsia="zh-CN" w:bidi="ar"/>
              </w:rPr>
              <w:t xml:space="preserve">不演示，不得分。</w:t>
            </w:r>
            <w:r/>
          </w:p>
          <w:p>
            <w:pPr>
              <w:ind w:firstLine="480"/>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视频演示内容一（C86架构超融合管理软件管理）：</w:t>
            </w:r>
            <w:r/>
          </w:p>
          <w:p>
            <w:pPr>
              <w:numPr>
                <w:ilvl w:val="0"/>
                <w:numId w:val="0"/>
              </w:num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1、支持避免主机RAID卡卡死影响，一旦发现RAID卡出现卡死状态，平台支持对该主机进行隔离；</w:t>
            </w:r>
            <w:r/>
          </w:p>
          <w:p>
            <w:pPr>
              <w:numPr>
                <w:ilvl w:val="0"/>
                <w:numId w:val="0"/>
              </w:num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2、支持微隔离策略，支持访问关系、历史流量和用户配置等制定相应微隔离规则，支持预览访问关系和防护状况以发布推荐策略</w:t>
            </w:r>
            <w:r>
              <w:rPr>
                <w:rFonts w:hint="eastAsia" w:ascii="宋体" w:hAnsi="宋体" w:cs="宋体"/>
                <w:color w:val="auto"/>
                <w:sz w:val="24"/>
                <w:highlight w:val="none"/>
                <w:lang w:val="en-US" w:eastAsia="zh-CN" w:bidi="ar"/>
              </w:rPr>
              <w:t xml:space="preserve">。</w:t>
            </w:r>
            <w:r/>
          </w:p>
          <w:p>
            <w:pPr>
              <w:ind w:firstLine="480"/>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视频演示内容二（外网备份一体机软件功能）：</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3、支持Oracle RAC虚拟化验证时，可自动化配置集群网卡、聚合网卡等参数；</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4、备份系统网络支持配置“网卡关闭/开启策略”功能，可将除备份数据传输端口外的SSH、网络访问等网络端口关闭，杜绝除传输备份数据流之外的网络访问</w:t>
            </w:r>
            <w:r>
              <w:rPr>
                <w:rFonts w:hint="eastAsia" w:ascii="宋体" w:hAnsi="宋体" w:cs="宋体"/>
                <w:color w:val="auto"/>
                <w:sz w:val="24"/>
                <w:highlight w:val="none"/>
                <w:lang w:val="en-US" w:eastAsia="zh-CN" w:bidi="ar"/>
              </w:rPr>
              <w:t xml:space="preserve">。</w:t>
            </w:r>
            <w:r/>
          </w:p>
          <w:p>
            <w:pPr>
              <w:ind w:firstLine="480"/>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视频演示内容三（7*24小时安全托管服务</w:t>
            </w:r>
            <w:r>
              <w:rPr>
                <w:rFonts w:hint="eastAsia" w:ascii="宋体" w:hAnsi="宋体" w:cs="宋体"/>
                <w:color w:val="auto"/>
                <w:sz w:val="24"/>
                <w:highlight w:val="none"/>
                <w:lang w:val="en-US" w:eastAsia="zh-CN" w:bidi="ar"/>
              </w:rPr>
              <w:t xml:space="preserve">平台</w:t>
            </w:r>
            <w:r>
              <w:rPr>
                <w:rFonts w:hint="eastAsia" w:ascii="宋体" w:hAnsi="宋体" w:eastAsia="宋体" w:cs="宋体"/>
                <w:color w:val="auto"/>
                <w:sz w:val="24"/>
                <w:highlight w:val="none"/>
                <w:lang w:val="en-US" w:eastAsia="zh-CN" w:bidi="ar"/>
              </w:rPr>
              <w:t xml:space="preserve">）：</w:t>
            </w:r>
            <w:r/>
          </w:p>
          <w:p>
            <w:pPr>
              <w:numPr>
                <w:ilvl w:val="0"/>
                <w:numId w:val="0"/>
              </w:num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5、支持通过可视化的数据展示安全托管服务水平，至少包括高危可利用漏洞准确率和防护率、威胁闭环率和平均分析研判时效及平均遏制时效、事件闭环率和平均分析研判时效及平均闭环时效等重要风险指标；</w:t>
            </w:r>
            <w:r/>
          </w:p>
          <w:p>
            <w:pPr>
              <w:numPr>
                <w:ilvl w:val="0"/>
                <w:numId w:val="0"/>
              </w:num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6、安全托管服务平台应当具备不少于40种策略检查工具以排查安全设备防护策略配置合理性。</w:t>
            </w:r>
            <w:r/>
          </w:p>
          <w:p>
            <w:pPr>
              <w:ind w:firstLine="480"/>
              <w:keepLines w:val="0"/>
              <w:keepNext w:val="0"/>
              <w:pageBreakBefore w:val="0"/>
              <w:spacing w:line="380" w:lineRule="exact"/>
              <w:widowControl w:val="off"/>
              <w:rPr>
                <w:rFonts w:hint="default"/>
                <w:color w:val="auto"/>
                <w:highlight w:val="none"/>
                <w:lang w:val="en-US" w:eastAsia="zh-CN"/>
              </w:rPr>
            </w:pPr>
            <w:r>
              <w:rPr>
                <w:rFonts w:hint="eastAsia" w:ascii="宋体" w:hAnsi="宋体" w:eastAsia="宋体" w:cs="宋体"/>
                <w:color w:val="auto"/>
                <w:sz w:val="24"/>
                <w:highlight w:val="none"/>
                <w:lang w:val="en-US" w:eastAsia="zh-CN" w:bidi="ar"/>
              </w:rPr>
              <w:t xml:space="preserve">视频演示内容四（数字运维管理平台软件功能）：</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7、支持子网自动扫描和手动添加，能够统计各子网IP使用率并且支持子网IP使用状态可视化展示，包括IP在线状态和分配状态统计；</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8、支持IP地址标记功能，自定义标记每个IP的使用人、用途等，能够呈现每个IP的入网信息，包括接入设备IP、接入设备名称、接入设备接口，能够查看每个IP的在某个周期内的终端使用记录。</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9、支持IT资产的全量深度扫描功能，能够通过提供子网、SNMP、服务器账号等信息，深度发现信息资产的配置和属性信息，并进行资产实例的一键导入；</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10、支持查看扫描设备的特征分析数据，便于进行资产的识别与分析，做好资产信息的完善。</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11、支持在概览页面以时间轴的形式查看整个安全服务记录可点击查看详情，能够查看安全服务厂商数量、安全服务目录总数、安全服务次数以及安全服务台账总数等并能够下钻展示列表；</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12、支持安全服务目录管理，可对安全服务类目进行计划与过程管理；能够查看各安全服务的基本信息，包括服务概述、政策要求，并支持相关附件的上传与预览；同时可对各安全服务项目进行数据统计，涵盖安全服务次数、服务过程文档总数等指标，并支持点击查看详情。</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13、支持安全事件处置流程的自定义管理，能够以图形化方式设置流程，并可针对不同场景配置多个处置流程及发起人的职责范围；支持事件处理节点权限的精细化自定义，可灵活配置各节点的发起人、处理人、处理角色、处理命令及抄送人等信息，且选人方式支持多维度配置；</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14、支持基于预设流程的安全事件处置管理，能够根据信息资产中的责任人自动识别并下发处置任务；支持事件处理表单的自定义，通过拖拉拽方式灵活配置表单样式，满足多类型事件的处置需求。</w:t>
            </w:r>
            <w:r/>
          </w:p>
          <w:p>
            <w:pPr>
              <w:keepLines w:val="0"/>
              <w:keepNext w:val="0"/>
              <w:pageBreakBefore w:val="0"/>
              <w:spacing w:line="380" w:lineRule="exact"/>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15、支持移动端事件处理，可在移动端进行安全事件的通知、查看、处置和统计；</w:t>
            </w:r>
            <w:r/>
          </w:p>
          <w:p>
            <w:pPr>
              <w:keepLines w:val="0"/>
              <w:keepNext w:val="0"/>
              <w:pageBreakBefore w:val="0"/>
              <w:spacing w:line="380" w:lineRule="exact"/>
              <w:widowControl w:val="off"/>
              <w:rPr>
                <w:rFonts w:hint="default"/>
                <w:color w:val="auto"/>
                <w:highlight w:val="none"/>
                <w:lang w:val="en-US" w:eastAsia="zh-CN"/>
              </w:rPr>
            </w:pPr>
            <w:r>
              <w:rPr>
                <w:rFonts w:hint="eastAsia" w:ascii="宋体" w:hAnsi="宋体" w:eastAsia="宋体" w:cs="宋体"/>
                <w:color w:val="auto"/>
                <w:sz w:val="24"/>
                <w:highlight w:val="none"/>
                <w:lang w:val="en-US" w:eastAsia="zh-CN" w:bidi="ar"/>
              </w:rPr>
              <w:t xml:space="preserve">16、支持通过移动端查看安全事件处置的流程细节，实时了解事件的处置人、处置进展、处置措施、处置总结等信息并能够根据事件紧急程度进行倒计时提醒。</w:t>
            </w:r>
            <w:bookmarkEnd w:id="210"/>
            <w:r/>
            <w:r/>
          </w:p>
        </w:tc>
      </w:tr>
      <w:tr>
        <w:trPr>
          <w:trHeight w:val="3043"/>
        </w:trPr>
        <w:tc>
          <w:tcPr>
            <w:tcMar>
              <w:left w:w="15" w:type="dxa"/>
              <w:top w:w="15" w:type="dxa"/>
              <w:right w:w="15" w:type="dxa"/>
            </w:tcMar>
            <w:tcW w:w="1573" w:type="dxa"/>
            <w:vAlign w:val="center"/>
            <w:textDirection w:val="lrTb"/>
            <w:noWrap w:val="false"/>
          </w:tcPr>
          <w:p>
            <w:pPr>
              <w:pStyle w:val="939"/>
              <w:ind w:left="0"/>
              <w:jc w:val="center"/>
              <w:spacing w:line="400" w:lineRule="exact"/>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综合实力</w:t>
            </w:r>
            <w:r/>
          </w:p>
          <w:p>
            <w:pPr>
              <w:pStyle w:val="939"/>
              <w:ind w:left="0"/>
              <w:jc w:val="center"/>
              <w:spacing w:line="400" w:lineRule="exact"/>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w:t>
            </w:r>
            <w:r>
              <w:rPr>
                <w:rFonts w:hint="eastAsia" w:ascii="宋体" w:hAnsi="宋体" w:cs="宋体"/>
                <w:b/>
                <w:color w:val="auto"/>
                <w:sz w:val="24"/>
                <w:highlight w:val="none"/>
                <w:lang w:val="en-US" w:eastAsia="zh-CN" w:bidi="ar"/>
              </w:rPr>
              <w:t xml:space="preserve">5</w:t>
            </w:r>
            <w:r>
              <w:rPr>
                <w:rFonts w:hint="eastAsia" w:ascii="宋体" w:hAnsi="宋体" w:cs="宋体"/>
                <w:b/>
                <w:color w:val="auto"/>
                <w:sz w:val="24"/>
                <w:highlight w:val="none"/>
                <w:lang w:bidi="ar"/>
              </w:rPr>
              <w:t xml:space="preserve">分）</w:t>
            </w:r>
            <w:r/>
          </w:p>
        </w:tc>
        <w:tc>
          <w:tcPr>
            <w:tcMar>
              <w:left w:w="15" w:type="dxa"/>
              <w:top w:w="15" w:type="dxa"/>
              <w:right w:w="15" w:type="dxa"/>
            </w:tcMar>
            <w:tcW w:w="7967" w:type="dxa"/>
            <w:vAlign w:val="center"/>
            <w:textDirection w:val="lrTb"/>
            <w:noWrap w:val="false"/>
          </w:tcPr>
          <w:p>
            <w:pPr>
              <w:ind w:firstLine="480"/>
              <w:keepLines w:val="0"/>
              <w:keepNext w:val="0"/>
              <w:pageBreakBefore w:val="0"/>
              <w:spacing w:line="380" w:lineRule="exact"/>
              <w:widowControl w:val="off"/>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t xml:space="preserve">1、投标人具备质量管理体系认证证书、信息安全管理体系认证证书、信息技术服务管理体系认证证书，每有一个得1分，本项最高得3分。</w:t>
            </w:r>
            <w:r/>
          </w:p>
          <w:p>
            <w:pPr>
              <w:ind w:firstLine="480"/>
              <w:keepLines w:val="0"/>
              <w:keepNext w:val="0"/>
              <w:pageBreakBefore w:val="0"/>
              <w:spacing w:line="380" w:lineRule="exact"/>
              <w:widowControl w:val="off"/>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p>
            <w:pPr>
              <w:numPr>
                <w:ilvl w:val="0"/>
                <w:numId w:val="22"/>
              </w:numPr>
              <w:ind w:firstLine="480"/>
              <w:keepLines w:val="0"/>
              <w:keepNext w:val="0"/>
              <w:pageBreakBefore w:val="0"/>
              <w:spacing w:line="380" w:lineRule="exact"/>
              <w:widowControl w:val="off"/>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t xml:space="preserve">投标人具有在有效期内的机电工程施工总承包</w:t>
            </w:r>
            <w:r>
              <w:rPr>
                <w:rFonts w:hint="eastAsia" w:ascii="宋体" w:hAnsi="宋体" w:eastAsia="宋体" w:cs="宋体"/>
                <w:bCs/>
                <w:color w:val="auto"/>
                <w:sz w:val="24"/>
                <w:highlight w:val="none"/>
                <w:lang w:val="en-US" w:eastAsia="zh-CN" w:bidi="ar"/>
              </w:rPr>
              <w:t xml:space="preserve">二</w:t>
            </w:r>
            <w:r>
              <w:rPr>
                <w:rFonts w:hint="eastAsia" w:ascii="宋体" w:hAnsi="宋体" w:eastAsia="宋体" w:cs="宋体"/>
                <w:bCs/>
                <w:color w:val="auto"/>
                <w:sz w:val="24"/>
                <w:highlight w:val="none"/>
                <w:lang w:bidi="ar"/>
              </w:rPr>
              <w:t xml:space="preserve">级</w:t>
            </w:r>
            <w:r>
              <w:rPr>
                <w:rFonts w:hint="eastAsia" w:ascii="宋体" w:hAnsi="宋体" w:eastAsia="宋体" w:cs="宋体"/>
                <w:bCs/>
                <w:color w:val="auto"/>
                <w:sz w:val="24"/>
                <w:highlight w:val="none"/>
                <w:lang w:val="en-US" w:eastAsia="zh-CN" w:bidi="ar"/>
              </w:rPr>
              <w:t xml:space="preserve">或以上</w:t>
            </w:r>
            <w:r>
              <w:rPr>
                <w:rFonts w:hint="eastAsia" w:ascii="宋体" w:hAnsi="宋体" w:eastAsia="宋体" w:cs="宋体"/>
                <w:bCs/>
                <w:color w:val="auto"/>
                <w:sz w:val="24"/>
                <w:highlight w:val="none"/>
                <w:lang w:bidi="ar"/>
              </w:rPr>
              <w:t xml:space="preserve">资质证书得1分，不提供不得分。</w:t>
            </w:r>
            <w:r/>
          </w:p>
          <w:p>
            <w:pPr>
              <w:pStyle w:val="915"/>
              <w:numPr>
                <w:ilvl w:val="0"/>
                <w:numId w:val="0"/>
              </w:numPr>
              <w:rPr>
                <w:rFonts w:hint="default" w:eastAsia="宋体"/>
                <w:color w:val="auto"/>
                <w:highlight w:val="none"/>
                <w:lang w:val="en-US" w:eastAsia="zh-CN"/>
              </w:rPr>
            </w:pPr>
            <w:r>
              <w:rPr>
                <w:rFonts w:hint="eastAsia"/>
                <w:color w:val="auto"/>
                <w:highlight w:val="none"/>
                <w:lang w:val="en-US" w:eastAsia="zh-CN"/>
              </w:rPr>
              <w:t xml:space="preserve">    3、</w:t>
            </w:r>
            <w:r>
              <w:rPr>
                <w:rFonts w:hint="eastAsia" w:ascii="宋体" w:hAnsi="宋体" w:eastAsia="宋体" w:cs="宋体"/>
                <w:bCs/>
                <w:color w:val="auto"/>
                <w:sz w:val="24"/>
                <w:highlight w:val="none"/>
                <w:lang w:bidi="ar"/>
              </w:rPr>
              <w:t xml:space="preserve">投标人具有在有效期内的</w:t>
            </w:r>
            <w:r>
              <w:rPr>
                <w:rFonts w:hint="eastAsia" w:ascii="宋体" w:hAnsi="宋体" w:eastAsia="宋体" w:cs="宋体"/>
                <w:color w:val="auto"/>
                <w:szCs w:val="21"/>
                <w:highlight w:val="none"/>
                <w:lang w:val="en-US" w:eastAsia="zh-CN"/>
              </w:rPr>
              <w:t xml:space="preserve">智能化工程专业承包二级</w:t>
            </w:r>
            <w:r>
              <w:rPr>
                <w:rFonts w:hint="eastAsia" w:cs="宋体"/>
                <w:color w:val="auto"/>
                <w:szCs w:val="21"/>
                <w:highlight w:val="none"/>
                <w:lang w:val="en-US" w:eastAsia="zh-CN"/>
              </w:rPr>
              <w:t xml:space="preserve">或以上</w:t>
            </w:r>
            <w:r>
              <w:rPr>
                <w:rFonts w:hint="eastAsia" w:ascii="宋体" w:hAnsi="宋体" w:eastAsia="宋体" w:cs="宋体"/>
                <w:color w:val="auto"/>
                <w:szCs w:val="21"/>
                <w:highlight w:val="none"/>
                <w:lang w:val="en-US" w:eastAsia="zh-CN"/>
              </w:rPr>
              <w:t xml:space="preserve">资质</w:t>
            </w:r>
            <w:r>
              <w:rPr>
                <w:rFonts w:hint="eastAsia" w:ascii="宋体" w:hAnsi="宋体" w:eastAsia="宋体" w:cs="宋体"/>
                <w:bCs/>
                <w:color w:val="auto"/>
                <w:sz w:val="24"/>
                <w:highlight w:val="none"/>
                <w:lang w:bidi="ar"/>
              </w:rPr>
              <w:t xml:space="preserve">证书得1分，不提供不得分。</w:t>
            </w:r>
            <w:r/>
          </w:p>
          <w:p>
            <w:pPr>
              <w:ind w:firstLine="480"/>
              <w:keepLines w:val="0"/>
              <w:keepNext w:val="0"/>
              <w:pageBreakBefore w:val="0"/>
              <w:spacing w:line="380" w:lineRule="exact"/>
              <w:widowControl w:val="off"/>
              <w:rPr>
                <w:rFonts w:hint="eastAsia" w:ascii="宋体" w:hAnsi="宋体" w:cs="宋体"/>
                <w:bCs/>
                <w:color w:val="auto"/>
                <w:sz w:val="24"/>
                <w:highlight w:val="none"/>
              </w:rPr>
            </w:pPr>
            <w:r>
              <w:rPr>
                <w:rFonts w:hint="eastAsia" w:ascii="宋体" w:hAnsi="宋体" w:eastAsia="宋体" w:cs="宋体"/>
                <w:bCs/>
                <w:color w:val="auto"/>
                <w:sz w:val="24"/>
                <w:highlight w:val="none"/>
                <w:lang w:bidi="ar"/>
              </w:rPr>
              <w:t xml:space="preserve">注：以上材料均须加盖投标人公章，否则不予认可，不提供不得分。</w:t>
            </w:r>
            <w:r/>
          </w:p>
        </w:tc>
      </w:tr>
      <w:tr>
        <w:trPr/>
        <w:tc>
          <w:tcPr>
            <w:tcMar>
              <w:left w:w="15" w:type="dxa"/>
              <w:top w:w="15" w:type="dxa"/>
              <w:right w:w="15" w:type="dxa"/>
            </w:tcMar>
            <w:tcW w:w="1573" w:type="dxa"/>
            <w:vAlign w:val="center"/>
            <w:textDirection w:val="lrTb"/>
            <w:noWrap w:val="false"/>
          </w:tcPr>
          <w:p>
            <w:pPr>
              <w:jc w:val="center"/>
              <w:spacing w:line="400" w:lineRule="exact"/>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业绩</w:t>
            </w:r>
            <w:r/>
          </w:p>
          <w:p>
            <w:pPr>
              <w:jc w:val="center"/>
              <w:spacing w:line="400" w:lineRule="exact"/>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（3分）</w:t>
            </w:r>
            <w:r/>
          </w:p>
        </w:tc>
        <w:tc>
          <w:tcPr>
            <w:tcMar>
              <w:left w:w="15" w:type="dxa"/>
              <w:top w:w="15" w:type="dxa"/>
              <w:right w:w="15" w:type="dxa"/>
            </w:tcMar>
            <w:tcW w:w="7967" w:type="dxa"/>
            <w:vAlign w:val="center"/>
            <w:textDirection w:val="lrTb"/>
            <w:noWrap w:val="false"/>
          </w:tcPr>
          <w:p>
            <w:pPr>
              <w:ind w:firstLine="480"/>
              <w:spacing w:line="400" w:lineRule="exact"/>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投标人自</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年1月1日以</w:t>
            </w:r>
            <w:r>
              <w:rPr>
                <w:rFonts w:hint="eastAsia" w:ascii="宋体" w:hAnsi="宋体" w:cs="宋体"/>
                <w:color w:val="auto"/>
                <w:sz w:val="24"/>
                <w:highlight w:val="none"/>
                <w:lang w:val="en-US" w:eastAsia="zh-CN"/>
              </w:rPr>
              <w:t xml:space="preserve">后（以</w:t>
            </w:r>
            <w:r>
              <w:rPr>
                <w:rFonts w:hint="eastAsia" w:ascii="宋体" w:hAnsi="宋体" w:cs="宋体"/>
                <w:color w:val="auto"/>
                <w:sz w:val="24"/>
                <w:highlight w:val="none"/>
              </w:rPr>
              <w:t xml:space="preserve">签订</w:t>
            </w:r>
            <w:r>
              <w:rPr>
                <w:rFonts w:hint="eastAsia" w:ascii="宋体" w:hAnsi="宋体" w:cs="宋体"/>
                <w:color w:val="auto"/>
                <w:sz w:val="24"/>
                <w:highlight w:val="none"/>
                <w:lang w:val="en-US" w:eastAsia="zh-CN"/>
              </w:rPr>
              <w:t xml:space="preserve">的合同</w:t>
            </w:r>
            <w:r>
              <w:rPr>
                <w:rFonts w:hint="eastAsia" w:ascii="宋体" w:hAnsi="宋体" w:cs="宋体"/>
                <w:color w:val="auto"/>
                <w:sz w:val="24"/>
                <w:highlight w:val="none"/>
              </w:rPr>
              <w:t xml:space="preserve">时间为准</w:t>
            </w:r>
            <w:r>
              <w:rPr>
                <w:rFonts w:hint="eastAsia" w:ascii="宋体" w:hAnsi="宋体" w:cs="宋体"/>
                <w:color w:val="auto"/>
                <w:sz w:val="24"/>
                <w:highlight w:val="none"/>
                <w:lang w:eastAsia="zh-CN"/>
              </w:rPr>
              <w:t xml:space="preserve">）</w:t>
            </w:r>
            <w:r>
              <w:rPr>
                <w:rFonts w:hint="eastAsia" w:ascii="宋体" w:hAnsi="宋体" w:cs="宋体"/>
                <w:bCs/>
                <w:color w:val="auto"/>
                <w:sz w:val="24"/>
                <w:highlight w:val="none"/>
                <w:lang w:bidi="ar"/>
              </w:rPr>
              <w:t xml:space="preserve">承担过类似项目（类似项目是指</w:t>
            </w:r>
            <w:r>
              <w:rPr>
                <w:rFonts w:hint="eastAsia" w:ascii="宋体" w:hAnsi="宋体" w:cs="宋体"/>
                <w:bCs/>
                <w:color w:val="auto"/>
                <w:sz w:val="24"/>
                <w:highlight w:val="none"/>
                <w:lang w:val="en-US" w:eastAsia="zh-CN" w:bidi="ar"/>
              </w:rPr>
              <w:t xml:space="preserve">机房建设类</w:t>
            </w:r>
            <w:r>
              <w:rPr>
                <w:rFonts w:hint="eastAsia" w:ascii="宋体" w:hAnsi="宋体" w:eastAsia="宋体" w:cs="宋体"/>
                <w:bCs/>
                <w:color w:val="auto"/>
                <w:sz w:val="24"/>
                <w:highlight w:val="none"/>
                <w:lang w:val="en-US" w:eastAsia="zh-CN" w:bidi="ar"/>
              </w:rPr>
              <w:t xml:space="preserve">项目</w:t>
            </w:r>
            <w:r>
              <w:rPr>
                <w:rFonts w:hint="eastAsia" w:ascii="宋体" w:hAnsi="宋体" w:cs="宋体"/>
                <w:bCs/>
                <w:color w:val="auto"/>
                <w:sz w:val="24"/>
                <w:highlight w:val="none"/>
                <w:lang w:bidi="ar"/>
              </w:rPr>
              <w:t xml:space="preserve">）</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bidi="ar"/>
              </w:rPr>
              <w:t xml:space="preserve">提供相关案例合同，每提供1个得1分，最高得3分。</w:t>
            </w:r>
            <w:r/>
          </w:p>
          <w:p>
            <w:pPr>
              <w:ind w:firstLine="482"/>
              <w:spacing w:line="400" w:lineRule="exact"/>
              <w:rPr>
                <w:rFonts w:hint="default" w:ascii="宋体" w:hAnsi="宋体" w:cs="宋体" w:eastAsiaTheme="minorEastAsia"/>
                <w:color w:val="auto"/>
                <w:sz w:val="24"/>
                <w:highlight w:val="none"/>
                <w:lang w:val="en-US" w:eastAsia="zh-CN" w:bidi="en-US"/>
              </w:rPr>
            </w:pPr>
            <w:r>
              <w:rPr>
                <w:rFonts w:hint="eastAsia" w:ascii="宋体" w:hAnsi="宋体" w:cs="宋体"/>
                <w:b w:val="0"/>
                <w:bCs/>
                <w:color w:val="auto"/>
                <w:sz w:val="24"/>
                <w:highlight w:val="none"/>
                <w:lang w:bidi="ar"/>
              </w:rPr>
              <w:t xml:space="preserve">注：投标时需提供服务合同原件扫描件，且合同中需体现甲乙双方名称、项目名称、</w:t>
            </w:r>
            <w:r>
              <w:rPr>
                <w:rFonts w:hint="eastAsia" w:ascii="宋体" w:hAnsi="宋体" w:cs="宋体"/>
                <w:b w:val="0"/>
                <w:bCs/>
                <w:color w:val="auto"/>
                <w:sz w:val="24"/>
                <w:highlight w:val="none"/>
                <w:lang w:val="en-US" w:eastAsia="zh-CN" w:bidi="ar"/>
              </w:rPr>
              <w:t xml:space="preserve">项目</w:t>
            </w:r>
            <w:r>
              <w:rPr>
                <w:rFonts w:hint="eastAsia" w:ascii="宋体" w:hAnsi="宋体" w:cs="宋体"/>
                <w:b w:val="0"/>
                <w:bCs/>
                <w:color w:val="auto"/>
                <w:sz w:val="24"/>
                <w:highlight w:val="none"/>
                <w:lang w:eastAsia="zh-CN" w:bidi="ar"/>
              </w:rPr>
              <w:t xml:space="preserve">内容、</w:t>
            </w:r>
            <w:r>
              <w:rPr>
                <w:rFonts w:hint="eastAsia" w:ascii="宋体" w:hAnsi="宋体" w:cs="宋体"/>
                <w:b w:val="0"/>
                <w:bCs/>
                <w:color w:val="auto"/>
                <w:sz w:val="24"/>
                <w:highlight w:val="none"/>
                <w:lang w:bidi="ar"/>
              </w:rPr>
              <w:t xml:space="preserve">合同签订时间、甲乙双方章印齐全，否则不予认可。未提供或经评审不合格的均不得分。</w:t>
            </w:r>
            <w:r/>
          </w:p>
        </w:tc>
      </w:tr>
      <w:tr>
        <w:trPr>
          <w:trHeight w:val="1290"/>
        </w:trPr>
        <w:tc>
          <w:tcPr>
            <w:tcMar>
              <w:left w:w="15" w:type="dxa"/>
              <w:top w:w="15" w:type="dxa"/>
              <w:right w:w="15" w:type="dxa"/>
            </w:tcMar>
            <w:tcW w:w="1573" w:type="dxa"/>
            <w:vAlign w:val="center"/>
            <w:textDirection w:val="lrTb"/>
            <w:noWrap w:val="false"/>
          </w:tcPr>
          <w:p>
            <w:pPr>
              <w:jc w:val="center"/>
              <w:spacing w:line="400" w:lineRule="exact"/>
              <w:widowControl/>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所供货物</w:t>
            </w:r>
            <w:r/>
          </w:p>
          <w:p>
            <w:pPr>
              <w:jc w:val="center"/>
              <w:spacing w:line="400" w:lineRule="exact"/>
              <w:widowControl/>
              <w:rPr>
                <w:rFonts w:hint="eastAsia"/>
                <w:color w:val="auto"/>
                <w:highlight w:val="none"/>
              </w:rPr>
            </w:pPr>
            <w:r>
              <w:rPr>
                <w:rFonts w:hint="eastAsia" w:ascii="宋体" w:hAnsi="宋体" w:eastAsia="宋体" w:cs="宋体"/>
                <w:b/>
                <w:color w:val="auto"/>
                <w:sz w:val="24"/>
                <w:highlight w:val="none"/>
                <w:lang w:bidi="ar"/>
              </w:rPr>
              <w:t xml:space="preserve">（</w:t>
            </w:r>
            <w:r>
              <w:rPr>
                <w:rFonts w:hint="eastAsia" w:ascii="宋体" w:hAnsi="宋体" w:cs="宋体"/>
                <w:b/>
                <w:color w:val="auto"/>
                <w:sz w:val="24"/>
                <w:highlight w:val="none"/>
                <w:lang w:val="en-US" w:eastAsia="zh-CN" w:bidi="ar"/>
              </w:rPr>
              <w:t xml:space="preserve">1</w:t>
            </w:r>
            <w:r>
              <w:rPr>
                <w:rFonts w:hint="eastAsia" w:ascii="宋体" w:hAnsi="宋体" w:eastAsia="宋体" w:cs="宋体"/>
                <w:b/>
                <w:color w:val="auto"/>
                <w:sz w:val="24"/>
                <w:highlight w:val="none"/>
                <w:lang w:bidi="ar"/>
              </w:rPr>
              <w:t xml:space="preserve">分）</w:t>
            </w:r>
            <w:r/>
          </w:p>
        </w:tc>
        <w:tc>
          <w:tcPr>
            <w:tcMar>
              <w:left w:w="15" w:type="dxa"/>
              <w:top w:w="15" w:type="dxa"/>
              <w:right w:w="15" w:type="dxa"/>
            </w:tcMar>
            <w:tcW w:w="7967" w:type="dxa"/>
            <w:vAlign w:val="center"/>
            <w:textDirection w:val="lrTb"/>
            <w:noWrap w:val="false"/>
          </w:tcPr>
          <w:p>
            <w:pPr>
              <w:ind w:firstLine="482"/>
              <w:spacing w:line="400" w:lineRule="exact"/>
              <w:rPr>
                <w:rFonts w:hint="default" w:ascii="宋体" w:hAnsi="宋体" w:cs="宋体" w:eastAsiaTheme="minorEastAsia"/>
                <w:b/>
                <w:color w:val="auto"/>
                <w:sz w:val="24"/>
                <w:highlight w:val="none"/>
                <w:lang w:val="en-US" w:eastAsia="zh-CN" w:bidi="ar"/>
              </w:rPr>
            </w:pPr>
            <w:r>
              <w:rPr>
                <w:rFonts w:hint="eastAsia" w:ascii="宋体" w:hAnsi="宋体" w:cs="宋体"/>
                <w:b w:val="0"/>
                <w:bCs/>
                <w:color w:val="auto"/>
                <w:sz w:val="24"/>
                <w:highlight w:val="none"/>
                <w:lang w:bidi="ar"/>
              </w:rPr>
              <w:t xml:space="preserve">为响应国家绿色、节能要求，所投微模块产品要求全年PUE不高于1.2，PUE＞1.2不得分，本项最多得1分，需提供</w:t>
            </w:r>
            <w:r>
              <w:rPr>
                <w:rFonts w:hint="eastAsia" w:ascii="宋体" w:hAnsi="宋体" w:cs="宋体"/>
                <w:b w:val="0"/>
                <w:bCs/>
                <w:color w:val="auto"/>
                <w:sz w:val="24"/>
                <w:highlight w:val="none"/>
                <w:lang w:val="en-US" w:eastAsia="zh-CN" w:bidi="ar"/>
              </w:rPr>
              <w:t xml:space="preserve">具有资质的第三方检测报告，至少包括检测报告首页和正文扫描件</w:t>
            </w:r>
            <w:r>
              <w:rPr>
                <w:rFonts w:hint="eastAsia" w:ascii="宋体" w:hAnsi="宋体" w:cs="宋体"/>
                <w:b w:val="0"/>
                <w:bCs/>
                <w:color w:val="auto"/>
                <w:sz w:val="24"/>
                <w:highlight w:val="none"/>
                <w:lang w:bidi="ar"/>
              </w:rPr>
              <w:t xml:space="preserve">加盖投标人公章。</w:t>
            </w:r>
            <w:r>
              <w:rPr>
                <w:rFonts w:hint="eastAsia" w:ascii="宋体" w:hAnsi="宋体" w:cs="宋体"/>
                <w:b w:val="0"/>
                <w:bCs/>
                <w:color w:val="auto"/>
                <w:sz w:val="24"/>
                <w:highlight w:val="none"/>
                <w:lang w:val="en-US" w:eastAsia="zh-CN" w:bidi="ar"/>
              </w:rPr>
              <w:t xml:space="preserve">未提供不得分。</w:t>
            </w:r>
            <w:r/>
          </w:p>
        </w:tc>
      </w:tr>
      <w:tr>
        <w:trPr>
          <w:trHeight w:val="1290"/>
        </w:trPr>
        <w:tc>
          <w:tcPr>
            <w:tcMar>
              <w:left w:w="15" w:type="dxa"/>
              <w:top w:w="15" w:type="dxa"/>
              <w:right w:w="15" w:type="dxa"/>
            </w:tcMar>
            <w:tcW w:w="1573" w:type="dxa"/>
            <w:vAlign w:val="center"/>
            <w:textDirection w:val="lrTb"/>
            <w:noWrap w:val="false"/>
          </w:tcPr>
          <w:p>
            <w:pPr>
              <w:jc w:val="center"/>
              <w:spacing w:line="400" w:lineRule="exact"/>
              <w:widowControl/>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节能环保</w:t>
            </w:r>
            <w:r/>
          </w:p>
          <w:p>
            <w:pPr>
              <w:jc w:val="center"/>
              <w:spacing w:line="400" w:lineRule="exact"/>
              <w:widowControl/>
              <w:rPr>
                <w:rFonts w:hint="eastAsia" w:ascii="宋体" w:hAnsi="宋体" w:eastAsia="宋体" w:cs="宋体"/>
                <w:b/>
                <w:color w:val="auto"/>
                <w:sz w:val="24"/>
                <w:highlight w:val="none"/>
                <w:lang w:bidi="ar"/>
              </w:rPr>
            </w:pPr>
            <w:r>
              <w:rPr>
                <w:rFonts w:hint="eastAsia" w:ascii="宋体" w:hAnsi="宋体" w:eastAsia="宋体" w:cs="宋体"/>
                <w:b/>
                <w:color w:val="auto"/>
                <w:sz w:val="24"/>
                <w:highlight w:val="none"/>
                <w:lang w:bidi="ar"/>
              </w:rPr>
              <w:t xml:space="preserve">（2分）</w:t>
            </w:r>
            <w:r/>
          </w:p>
        </w:tc>
        <w:tc>
          <w:tcPr>
            <w:tcMar>
              <w:left w:w="15" w:type="dxa"/>
              <w:top w:w="15" w:type="dxa"/>
              <w:right w:w="15" w:type="dxa"/>
            </w:tcMar>
            <w:tcW w:w="7967" w:type="dxa"/>
            <w:vAlign w:val="center"/>
            <w:textDirection w:val="lrTb"/>
            <w:noWrap w:val="false"/>
          </w:tcPr>
          <w:p>
            <w:pPr>
              <w:pStyle w:val="921"/>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1.投标产品属于财政部、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公布的“节能产品品目清单”范围内的，投标人提供国家确定的认证机构出具的、处于有效期之内的该节能产品认证证书</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件的，有1个得0.5分，最多得1分。如投标产品均属于政府强制采购节能产品品目清单范围内，本项不得分。</w:t>
            </w:r>
            <w:r/>
          </w:p>
          <w:p>
            <w:pPr>
              <w:pStyle w:val="921"/>
              <w:ind w:firstLine="480"/>
              <w:jc w:val="both"/>
              <w:spacing w:beforeAutospacing="0" w:afterAutospacing="0" w:line="360" w:lineRule="auto"/>
              <w:rPr>
                <w:rFonts w:hint="eastAsia" w:ascii="宋体" w:hAnsi="宋体" w:cs="宋体"/>
                <w:b w:val="0"/>
                <w:bCs/>
                <w:color w:val="auto"/>
                <w:sz w:val="24"/>
                <w:highlight w:val="none"/>
                <w:lang w:bidi="ar"/>
              </w:rPr>
            </w:pPr>
            <w:r>
              <w:rPr>
                <w:rFonts w:hint="eastAsia" w:ascii="宋体" w:hAnsi="宋体" w:eastAsia="宋体" w:cs="宋体"/>
                <w:color w:val="auto"/>
                <w:sz w:val="24"/>
                <w:szCs w:val="24"/>
                <w:highlight w:val="none"/>
              </w:rPr>
              <w:t xml:space="preserve">2.投标产品属于财政部、生态环境部公布的“环境标志产品品目清单”范围内的，投标人提供国家确定的认证机构出具的、处于有效期内的该环保产品认证证书</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件的，有1个得0.5分，最多得1分。</w:t>
            </w:r>
            <w:r/>
          </w:p>
        </w:tc>
      </w:tr>
      <w:tr>
        <w:trPr/>
        <w:tc>
          <w:tcPr>
            <w:tcMar>
              <w:left w:w="15" w:type="dxa"/>
              <w:top w:w="15" w:type="dxa"/>
              <w:right w:w="15" w:type="dxa"/>
            </w:tcMar>
            <w:tcW w:w="1573" w:type="dxa"/>
            <w:vAlign w:val="center"/>
            <w:textDirection w:val="lrTb"/>
            <w:noWrap w:val="false"/>
          </w:tcPr>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项目组团队</w:t>
            </w:r>
            <w:r/>
          </w:p>
          <w:p>
            <w:pPr>
              <w:jc w:val="center"/>
              <w:widowControl/>
              <w:rPr>
                <w:rFonts w:hint="eastAsia" w:ascii="宋体" w:hAnsi="宋体" w:cs="宋体"/>
                <w:b/>
                <w:color w:val="auto"/>
                <w:sz w:val="24"/>
                <w:highlight w:val="none"/>
                <w:lang w:bidi="ar"/>
              </w:rPr>
            </w:pPr>
            <w:r>
              <w:rPr>
                <w:rFonts w:hint="eastAsia" w:ascii="宋体" w:hAnsi="宋体" w:cs="宋体"/>
                <w:b/>
                <w:color w:val="auto"/>
                <w:sz w:val="24"/>
                <w:highlight w:val="none"/>
                <w:lang w:bidi="ar"/>
              </w:rPr>
              <w:t xml:space="preserve">（</w:t>
            </w:r>
            <w:r>
              <w:rPr>
                <w:rFonts w:hint="eastAsia" w:ascii="宋体" w:hAnsi="宋体" w:cs="宋体"/>
                <w:b/>
                <w:color w:val="auto"/>
                <w:sz w:val="24"/>
                <w:highlight w:val="none"/>
                <w:lang w:val="en-US" w:eastAsia="zh-CN" w:bidi="ar"/>
              </w:rPr>
              <w:t xml:space="preserve">8</w:t>
            </w:r>
            <w:r>
              <w:rPr>
                <w:rFonts w:hint="eastAsia" w:ascii="宋体" w:hAnsi="宋体" w:cs="宋体"/>
                <w:b/>
                <w:color w:val="auto"/>
                <w:sz w:val="24"/>
                <w:highlight w:val="none"/>
                <w:lang w:bidi="ar"/>
              </w:rPr>
              <w:t xml:space="preserve">分）</w:t>
            </w:r>
            <w:r/>
          </w:p>
        </w:tc>
        <w:tc>
          <w:tcPr>
            <w:tcMar>
              <w:left w:w="15" w:type="dxa"/>
              <w:top w:w="15" w:type="dxa"/>
              <w:right w:w="15" w:type="dxa"/>
            </w:tcMar>
            <w:tcW w:w="7967" w:type="dxa"/>
            <w:vAlign w:val="center"/>
            <w:textDirection w:val="lrTb"/>
            <w:noWrap w:val="false"/>
          </w:tcPr>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1、投标人拟指派本项目的项目经理1人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具有高级工程师职称证书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人社部门颁发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网络规划设计师证书、CISAW信息安全保障人员证书(专业级或专业高级)，具备3项得2分，具备2项得1分，其他不得分。本项最高得2分。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2、投标人拟指派本项目的项目技术负责人1人，具有信息系统项目管理师证书、系统架构设计师证书、CISAW信息安全保障人员证书(专业级或专业高级)，具备3项得2分，具备2项得1分，其他不得分。本项最高得2分。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3、投标人拟派的现场实施负责人（1人），具有高级工程师职称证书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人社部门颁发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信息系统管理工程师证书、注册信息安全专业人员（CISP）证书，具备3项得2分，具备2项得1分，其他不得分。本项最高得2分。</w:t>
            </w:r>
            <w:r/>
          </w:p>
          <w:p>
            <w:pPr>
              <w:pStyle w:val="915"/>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4、投标人拟派的系统迁移负责人（1人），具有高级工程师职称证书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人社部门颁发</w:t>
            </w:r>
            <w:r>
              <w:rPr>
                <w:rFonts w:hint="eastAsia" w:ascii="宋体" w:hAnsi="宋体" w:cs="宋体"/>
                <w:color w:val="auto"/>
                <w:sz w:val="24"/>
                <w:highlight w:val="none"/>
                <w:lang w:eastAsia="zh-CN"/>
              </w:rPr>
              <w:t xml:space="preserve">）</w:t>
            </w:r>
            <w:r>
              <w:rPr>
                <w:rFonts w:hint="eastAsia"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系统集成项目管理工程师证书、数据库系统工程师，具备3项得2分，具备2项得1分，其他不得分。本项最高得2分。</w:t>
            </w:r>
            <w:r/>
          </w:p>
          <w:p>
            <w:pPr>
              <w:ind w:firstLine="480"/>
              <w:spacing w:line="400" w:lineRule="exact"/>
              <w:rPr>
                <w:rFonts w:hint="default" w:eastAsiaTheme="minorEastAsia"/>
                <w:color w:val="auto"/>
                <w:highlight w:val="none"/>
                <w:lang w:val="en-US" w:eastAsia="zh-CN"/>
              </w:rPr>
            </w:pPr>
            <w:r>
              <w:rPr>
                <w:rFonts w:hint="eastAsia" w:ascii="宋体" w:hAnsi="宋体" w:cs="宋体"/>
                <w:color w:val="auto"/>
                <w:sz w:val="24"/>
                <w:highlight w:val="none"/>
              </w:rPr>
              <w:t xml:space="preserve">注：</w:t>
            </w:r>
            <w:r>
              <w:rPr>
                <w:rFonts w:hint="eastAsia" w:ascii="宋体" w:hAnsi="宋体" w:eastAsia="宋体" w:cs="宋体"/>
                <w:color w:val="auto"/>
                <w:sz w:val="24"/>
                <w:szCs w:val="24"/>
                <w:highlight w:val="none"/>
                <w:lang w:val="en-US" w:eastAsia="zh-CN" w:bidi="ar-SA"/>
              </w:rPr>
              <w:t xml:space="preserve">拟派本项目团队人员（含项目经理、项目技术负责人、现场实施负责人、系统迁移负责人）不得重复任职，每人仅能担任一个岗位。若出现一人多岗，相关岗位均按“其他不得分”处理，取消对应岗位评分资格。</w:t>
            </w:r>
            <w:r>
              <w:rPr>
                <w:rFonts w:hint="eastAsia" w:ascii="宋体" w:hAnsi="宋体" w:cs="宋体"/>
                <w:color w:val="auto"/>
                <w:sz w:val="24"/>
                <w:highlight w:val="none"/>
              </w:rPr>
              <w:t xml:space="preserve">以上材料需提供有效的证书或官方网站截图扫描件并加盖投标人公章，未提供或提供的相关证书未在有效期内不得分。同时本项目所涉及所有团队人员须为本单位正式员工，并提供近</w:t>
            </w:r>
            <w:r>
              <w:rPr>
                <w:rFonts w:hint="eastAsia" w:ascii="宋体" w:hAnsi="宋体" w:cs="宋体"/>
                <w:color w:val="auto"/>
                <w:sz w:val="24"/>
                <w:highlight w:val="none"/>
                <w:lang w:val="en-US" w:eastAsia="zh-CN"/>
              </w:rPr>
              <w:t xml:space="preserve">投标截止当月向前近</w:t>
            </w:r>
            <w:r>
              <w:rPr>
                <w:rFonts w:hint="eastAsia" w:ascii="宋体" w:hAnsi="宋体" w:cs="宋体"/>
                <w:color w:val="auto"/>
                <w:sz w:val="24"/>
                <w:highlight w:val="none"/>
              </w:rPr>
              <w:t xml:space="preserve">三个月</w:t>
            </w:r>
            <w:r>
              <w:rPr>
                <w:rFonts w:hint="eastAsia" w:ascii="宋体" w:hAnsi="宋体" w:cs="宋体"/>
                <w:color w:val="auto"/>
                <w:sz w:val="24"/>
                <w:highlight w:val="none"/>
                <w:lang w:val="en-US" w:eastAsia="zh-CN"/>
              </w:rPr>
              <w:t xml:space="preserve">任意一个月</w:t>
            </w:r>
            <w:r>
              <w:rPr>
                <w:rFonts w:hint="eastAsia" w:ascii="宋体" w:hAnsi="宋体" w:cs="宋体"/>
                <w:color w:val="auto"/>
                <w:sz w:val="24"/>
                <w:highlight w:val="none"/>
              </w:rPr>
              <w:t xml:space="preserve">在投标人单位缴纳社会保险证明材料扫描件并加盖投标人公章，否则不得分。</w:t>
            </w:r>
            <w:bookmarkEnd w:id="177"/>
            <w:r/>
            <w:r/>
          </w:p>
        </w:tc>
      </w:tr>
    </w:tbl>
    <w:p>
      <w:pPr>
        <w:pStyle w:val="92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1"/>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921"/>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921"/>
        <w:jc w:val="center"/>
        <w:spacing w:beforeAutospacing="0" w:afterAutospacing="0"/>
        <w:rPr>
          <w:color w:val="auto"/>
          <w:highlight w:val="none"/>
        </w:rPr>
      </w:pPr>
      <w:r/>
      <w:bookmarkStart w:id="187" w:name="_Toc120614282"/>
      <w:r/>
      <w:bookmarkEnd w:id="187"/>
      <w:r/>
      <w:bookmarkStart w:id="188" w:name="_Toc49090576"/>
      <w:r/>
      <w:bookmarkEnd w:id="188"/>
      <w:r/>
      <w:bookmarkStart w:id="189" w:name="_Hlt26955039"/>
      <w:r/>
      <w:bookmarkStart w:id="190" w:name="_Toc26554094"/>
      <w:r/>
      <w:bookmarkStart w:id="191" w:name="_Hlt26671244"/>
      <w:r>
        <w:rPr>
          <w:rFonts w:hint="eastAsia" w:ascii="宋体" w:hAnsi="宋体" w:eastAsia="宋体" w:cs="宋体"/>
          <w:b/>
          <w:color w:val="auto"/>
          <w:sz w:val="72"/>
          <w:szCs w:val="72"/>
          <w:highlight w:val="none"/>
        </w:rPr>
        <w:t xml:space="preserve">投  标  文  件</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92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92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92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both"/>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921"/>
        <w:ind w:left="480"/>
        <w:jc w:val="both"/>
        <w:spacing w:beforeAutospacing="0" w:afterAutospacing="0"/>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二、上一年度的财务状况报告（至少提供资产负债表、利润表、现金流量表，成立不满一年无需提供</w:t>
      </w:r>
      <w:r>
        <w:rPr>
          <w:rFonts w:hint="eastAsia" w:ascii="宋体" w:hAnsi="宋体" w:eastAsia="宋体" w:cs="宋体"/>
          <w:i w:val="0"/>
          <w:iCs/>
          <w:color w:val="auto"/>
          <w:highlight w:val="none"/>
          <w:u w:val="none"/>
        </w:rPr>
        <w:t xml:space="preserve">）</w:t>
      </w:r>
      <w:r/>
    </w:p>
    <w:p>
      <w:pPr>
        <w:pStyle w:val="921"/>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921"/>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921"/>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921"/>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关于符合本国产品标准的声明函</w:t>
      </w:r>
      <w:r/>
    </w:p>
    <w:p>
      <w:pPr>
        <w:pStyle w:val="921"/>
        <w:ind w:firstLine="480"/>
        <w:jc w:val="both"/>
        <w:spacing w:beforeAutospacing="0" w:afterAutospacing="0" w:line="0" w:lineRule="atLeas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十二、投标分项报价表</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p>
    <w:p>
      <w:pPr>
        <w:pStyle w:val="921"/>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p>
    <w:p>
      <w:pPr>
        <w:pStyle w:val="921"/>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pStyle w:val="921"/>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服务方案</w:t>
      </w:r>
      <w:r>
        <w:rPr>
          <w:rFonts w:hint="eastAsia" w:ascii="宋体" w:hAnsi="宋体" w:eastAsia="宋体" w:cs="宋体"/>
          <w:i w:val="0"/>
          <w:iCs/>
          <w:color w:val="auto"/>
          <w:highlight w:val="none"/>
          <w:u w:val="none"/>
        </w:rPr>
        <w:t xml:space="preserve">等</w:t>
      </w:r>
      <w:r/>
    </w:p>
    <w:p>
      <w:pPr>
        <w:pStyle w:val="921"/>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、盐城市政府采购事前信用承诺书</w:t>
      </w:r>
      <w:r/>
    </w:p>
    <w:p>
      <w:pPr>
        <w:pStyle w:val="921"/>
        <w:ind w:firstLine="480"/>
        <w:jc w:val="both"/>
        <w:spacing w:beforeAutospacing="0" w:afterAutospacing="0" w:line="0" w:lineRule="atLeas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十八、招标文件中规定要求提供的材料和投标人认为需要提供的其他材料</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（至少提供资产负债表、利润表、现金流量表，成立不满一年无需提供</w:t>
      </w:r>
      <w:r>
        <w:rPr>
          <w:rFonts w:hint="eastAsia" w:ascii="宋体" w:hAnsi="宋体" w:eastAsia="宋体" w:cs="宋体"/>
          <w:i w:val="0"/>
          <w:iCs/>
          <w:color w:val="auto"/>
          <w:highlight w:val="none"/>
          <w:u w:val="none"/>
        </w:rPr>
        <w:t xml:space="preserve">）</w:t>
      </w:r>
      <w:r/>
    </w:p>
    <w:p>
      <w:pPr>
        <w:pStyle w:val="921"/>
        <w:jc w:val="both"/>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92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2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2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21"/>
        <w:jc w:val="center"/>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921"/>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921"/>
        <w:jc w:val="both"/>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921"/>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921"/>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921"/>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21"/>
        <w:jc w:val="both"/>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921"/>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921"/>
        <w:jc w:val="center"/>
        <w:spacing w:beforeAutospacing="0" w:afterAutospacing="0"/>
        <w:rPr>
          <w:rFonts w:ascii="黑体" w:hAnsi="宋体" w:eastAsia="黑体" w:cs="黑体"/>
          <w:i/>
          <w:color w:val="auto"/>
          <w:sz w:val="32"/>
          <w:szCs w:val="32"/>
          <w:highlight w:val="none"/>
          <w:u w:val="single"/>
        </w:rPr>
      </w:pPr>
      <w:r/>
      <w:bookmarkStart w:id="192" w:name="_Toc120614284"/>
      <w:r/>
      <w:r/>
    </w:p>
    <w:p>
      <w:pPr>
        <w:pStyle w:val="921"/>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921"/>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92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92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92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92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921"/>
        <w:ind w:firstLine="72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92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92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93" w:name="_Hlt26671380"/>
      <w:r/>
      <w:bookmarkStart w:id="194" w:name="_Hlt26955070"/>
      <w:r/>
      <w:bookmarkStart w:id="195" w:name="_格式3__银行出具的资信证明"/>
      <w:r>
        <w:rPr>
          <w:rFonts w:ascii="Times New Roman" w:hAnsi="Times New Roman"/>
          <w:color w:val="auto"/>
          <w:highlight w:val="none"/>
          <w:u w:val="single"/>
        </w:rPr>
        <w:t xml:space="preserve">                                         </w:t>
      </w:r>
      <w:r/>
    </w:p>
    <w:p>
      <w:pPr>
        <w:pStyle w:val="921"/>
        <w:ind w:firstLine="420"/>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line="500" w:lineRule="exact"/>
        <w:widowControl/>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法定代表人及被授权人身份证复印件：</w:t>
      </w:r>
      <w:r/>
    </w:p>
    <w:p>
      <w:pPr>
        <w:pStyle w:val="921"/>
        <w:jc w:val="center"/>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 xml:space="preserve">八、投标函</w:t>
      </w:r>
      <w:r/>
    </w:p>
    <w:p>
      <w:pPr>
        <w:pStyle w:val="921"/>
        <w:spacing w:beforeAutospacing="0" w:afterAutospacing="0" w:line="0" w:lineRule="atLeast"/>
        <w:rPr>
          <w:color w:val="auto"/>
          <w:highlight w:val="none"/>
        </w:rPr>
      </w:pPr>
      <w:r>
        <w:rPr>
          <w:rFonts w:hint="eastAsia" w:ascii="宋体" w:hAnsi="宋体" w:eastAsia="宋体" w:cs="宋体"/>
          <w:color w:val="auto"/>
          <w:highlight w:val="none"/>
        </w:rPr>
        <w:t xml:space="preserve">致：盐城市政府采购中心</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92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921"/>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92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921"/>
        <w:ind w:firstLine="240"/>
        <w:jc w:val="center"/>
        <w:spacing w:beforeAutospacing="0" w:afterAutospacing="0" w:line="0" w:lineRule="atLeast"/>
        <w:rPr>
          <w:color w:val="auto"/>
          <w:highlight w:val="none"/>
        </w:rPr>
      </w:pPr>
      <w:r>
        <w:rPr>
          <w:color w:val="auto"/>
          <w:highlight w:val="none"/>
        </w:rPr>
        <w:t xml:space="preserve"> </w:t>
      </w:r>
      <w:r/>
    </w:p>
    <w:p>
      <w:pPr>
        <w:pStyle w:val="921"/>
        <w:ind w:firstLine="240"/>
        <w:jc w:val="center"/>
        <w:spacing w:beforeAutospacing="0" w:afterAutospacing="0" w:line="0" w:lineRule="atLeast"/>
        <w:rPr>
          <w:color w:val="auto"/>
          <w:highlight w:val="none"/>
        </w:rPr>
      </w:pPr>
      <w:r>
        <w:rPr>
          <w:color w:val="auto"/>
          <w:highlight w:val="none"/>
        </w:rPr>
        <w:t xml:space="preserve"> </w:t>
      </w:r>
      <w:r/>
    </w:p>
    <w:p>
      <w:pPr>
        <w:pStyle w:val="921"/>
        <w:ind w:firstLine="240"/>
        <w:jc w:val="center"/>
        <w:spacing w:beforeAutospacing="0" w:afterAutospacing="0" w:line="0" w:lineRule="atLeast"/>
        <w:rPr>
          <w:color w:val="auto"/>
          <w:highlight w:val="none"/>
        </w:rPr>
      </w:pPr>
      <w:r>
        <w:rPr>
          <w:color w:val="auto"/>
          <w:highlight w:val="none"/>
        </w:rPr>
        <w:t xml:space="preserve"> </w:t>
      </w:r>
      <w:r/>
    </w:p>
    <w:p>
      <w:pPr>
        <w:pStyle w:val="921"/>
        <w:ind w:firstLine="240"/>
        <w:jc w:val="center"/>
        <w:spacing w:beforeAutospacing="0" w:afterAutospacing="0" w:line="0" w:lineRule="atLeast"/>
        <w:rPr>
          <w:color w:val="auto"/>
          <w:highlight w:val="none"/>
        </w:rPr>
      </w:pPr>
      <w:r>
        <w:rPr>
          <w:color w:val="auto"/>
          <w:highlight w:val="none"/>
        </w:rPr>
        <w:t xml:space="preserve"> </w:t>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r>
      <w:r/>
    </w:p>
    <w:p>
      <w:pPr>
        <w:pStyle w:val="921"/>
        <w:ind w:firstLine="240"/>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i/>
          <w:iCs/>
          <w:color w:val="auto"/>
          <w:highlight w:val="none"/>
          <w:u w:val="single"/>
        </w:rPr>
      </w:pPr>
      <w:r>
        <w:rPr>
          <w:rFonts w:hint="eastAsia" w:ascii="黑体" w:hAnsi="宋体" w:eastAsia="黑体" w:cs="黑体"/>
          <w:b/>
          <w:i/>
          <w:iCs/>
          <w:color w:val="auto"/>
          <w:sz w:val="32"/>
          <w:szCs w:val="32"/>
          <w:highlight w:val="none"/>
          <w:u w:val="single"/>
        </w:rPr>
        <w:t xml:space="preserve">九、</w:t>
      </w:r>
      <w:r>
        <w:rPr>
          <w:rFonts w:hint="eastAsia" w:ascii="黑体" w:hAnsi="宋体" w:eastAsia="黑体" w:cs="黑体"/>
          <w:b/>
          <w:i/>
          <w:iCs/>
          <w:color w:val="auto"/>
          <w:sz w:val="32"/>
          <w:szCs w:val="32"/>
          <w:highlight w:val="none"/>
          <w:u w:val="single"/>
          <w:lang w:val="en-US" w:eastAsia="zh-CN"/>
        </w:rPr>
        <w:t xml:space="preserve">中小</w:t>
      </w:r>
      <w:r>
        <w:rPr>
          <w:rFonts w:hint="eastAsia" w:ascii="黑体" w:hAnsi="宋体" w:eastAsia="黑体" w:cs="黑体"/>
          <w:b/>
          <w:i/>
          <w:iCs/>
          <w:color w:val="auto"/>
          <w:sz w:val="32"/>
          <w:szCs w:val="32"/>
          <w:highlight w:val="none"/>
          <w:u w:val="single"/>
        </w:rPr>
        <w:t xml:space="preserve">企业声明函（</w:t>
      </w:r>
      <w:r>
        <w:rPr>
          <w:rFonts w:hint="eastAsia" w:ascii="黑体" w:hAnsi="宋体" w:eastAsia="黑体" w:cs="黑体"/>
          <w:b/>
          <w:i/>
          <w:iCs/>
          <w:color w:val="auto"/>
          <w:sz w:val="32"/>
          <w:szCs w:val="32"/>
          <w:highlight w:val="none"/>
          <w:u w:val="single"/>
          <w:lang w:val="en-US" w:eastAsia="zh-CN"/>
        </w:rPr>
        <w:t xml:space="preserve">货物</w:t>
      </w:r>
      <w:r>
        <w:rPr>
          <w:rFonts w:hint="eastAsia" w:ascii="黑体" w:hAnsi="宋体" w:eastAsia="黑体" w:cs="黑体"/>
          <w:b/>
          <w:i/>
          <w:iCs/>
          <w:color w:val="auto"/>
          <w:sz w:val="32"/>
          <w:szCs w:val="32"/>
          <w:highlight w:val="none"/>
          <w:u w:val="singl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)的规定，本公司（联合体）参加盐城市政府采购中心组织的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9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9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9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921"/>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921"/>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921"/>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921"/>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921"/>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921"/>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921"/>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92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2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2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2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21"/>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21"/>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921"/>
        <w:jc w:val="center"/>
        <w:spacing w:beforeAutospacing="0" w:afterAutospacing="0" w:line="0" w:lineRule="atLeast"/>
        <w:rPr>
          <w:i/>
          <w:iCs/>
          <w:color w:val="auto"/>
          <w:highlight w:val="none"/>
          <w:u w:val="single"/>
        </w:rPr>
      </w:pPr>
      <w:r>
        <w:rPr>
          <w:rFonts w:hint="eastAsia" w:ascii="黑体" w:hAnsi="宋体" w:eastAsia="黑体" w:cs="黑体"/>
          <w:b/>
          <w:i/>
          <w:iCs/>
          <w:color w:val="auto"/>
          <w:sz w:val="32"/>
          <w:szCs w:val="32"/>
          <w:highlight w:val="none"/>
          <w:u w:val="single"/>
        </w:rPr>
        <w:t xml:space="preserve">十、残疾人福利性单位声明函</w:t>
      </w:r>
      <w:r/>
    </w:p>
    <w:p>
      <w:pPr>
        <w:pStyle w:val="92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92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921"/>
        <w:ind w:firstLine="480"/>
        <w:jc w:val="both"/>
        <w:spacing w:beforeAutospacing="0" w:afterAutospacing="0" w:line="0" w:lineRule="atLeast"/>
        <w:rPr>
          <w:color w:val="auto"/>
          <w:highlight w:val="none"/>
        </w:rPr>
      </w:pPr>
      <w:r>
        <w:rPr>
          <w:color w:val="auto"/>
          <w:highlight w:val="none"/>
        </w:rPr>
        <w:t xml:space="preserve"> </w:t>
      </w:r>
      <w:r/>
    </w:p>
    <w:p>
      <w:pPr>
        <w:pStyle w:val="92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921"/>
        <w:ind w:firstLine="624"/>
        <w:jc w:val="both"/>
        <w:spacing w:beforeAutospacing="0" w:afterAutospacing="0" w:line="0" w:lineRule="atLeast"/>
        <w:rPr>
          <w:color w:val="auto"/>
          <w:highlight w:val="none"/>
        </w:rPr>
      </w:pPr>
      <w:r>
        <w:rPr>
          <w:color w:val="auto"/>
          <w:highlight w:val="none"/>
        </w:rPr>
        <w:t xml:space="preserve"> </w:t>
      </w:r>
      <w:r/>
    </w:p>
    <w:p>
      <w:pPr>
        <w:pStyle w:val="921"/>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921"/>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921"/>
        <w:ind w:left="0" w:right="0"/>
        <w:jc w:val="center"/>
        <w:keepLines w:val="0"/>
        <w:keepNext w:val="0"/>
        <w:spacing w:before="0" w:beforeAutospacing="0" w:after="0" w:afterAutospacing="0"/>
        <w:widowControl w:val="off"/>
        <w:rPr>
          <w:b/>
          <w:bCs/>
          <w:i/>
          <w:iCs/>
          <w:color w:val="auto"/>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i/>
          <w:iCs/>
          <w:color w:val="auto"/>
          <w:sz w:val="32"/>
          <w:szCs w:val="32"/>
          <w:highlight w:val="none"/>
          <w:u w:val="single"/>
        </w:rPr>
        <w:t xml:space="preserve">十一、 关于符合本国产品标准的声明函</w:t>
      </w:r>
      <w:r/>
    </w:p>
    <w:p>
      <w:pPr>
        <w:pStyle w:val="921"/>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921"/>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921"/>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921"/>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921"/>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921"/>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921"/>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921"/>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921"/>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921"/>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921"/>
        <w:jc w:val="center"/>
        <w:spacing w:beforeAutospacing="0" w:afterAutospacing="0" w:line="0" w:lineRule="atLeast"/>
        <w:rPr>
          <w:color w:val="auto"/>
          <w:highlight w:val="none"/>
        </w:rPr>
      </w:pPr>
      <w:r>
        <w:rPr>
          <w:color w:val="auto"/>
          <w:highlight w:val="none"/>
        </w:rPr>
        <w:t xml:space="preserve"> </w:t>
      </w:r>
      <w:r/>
    </w:p>
    <w:p>
      <w:pPr>
        <w:pStyle w:val="921"/>
        <w:jc w:val="center"/>
        <w:spacing w:beforeAutospacing="0" w:afterAutospacing="0" w:line="0" w:lineRule="atLeast"/>
        <w:rPr>
          <w:color w:val="auto"/>
          <w:highlight w:val="none"/>
        </w:rPr>
      </w:pPr>
      <w:r>
        <w:rPr>
          <w:color w:val="auto"/>
          <w:highlight w:val="none"/>
        </w:rPr>
      </w:r>
      <w:r/>
    </w:p>
    <w:p>
      <w:pPr>
        <w:pStyle w:val="921"/>
        <w:jc w:val="center"/>
        <w:spacing w:beforeAutospacing="0" w:afterAutospacing="0" w:line="0" w:lineRule="atLeast"/>
        <w:rPr>
          <w:color w:val="auto"/>
          <w:highlight w:val="none"/>
        </w:rPr>
      </w:pPr>
      <w:r>
        <w:rPr>
          <w:color w:val="auto"/>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921"/>
        <w:numPr>
          <w:ilvl w:val="0"/>
          <w:numId w:val="23"/>
        </w:numPr>
        <w:jc w:val="center"/>
        <w:spacing w:beforeAutospacing="0" w:afterAutospacing="0"/>
        <w:rPr>
          <w:rFonts w:hint="eastAsia" w:ascii="黑体" w:hAnsi="宋体" w:eastAsia="黑体" w:cs="黑体"/>
          <w:b/>
          <w:i/>
          <w:iCs/>
          <w:color w:val="auto"/>
          <w:sz w:val="32"/>
          <w:szCs w:val="32"/>
          <w:highlight w:val="none"/>
          <w:u w:val="single"/>
        </w:rPr>
      </w:pPr>
      <w:r>
        <w:rPr>
          <w:rFonts w:hint="eastAsia" w:ascii="黑体" w:hAnsi="宋体" w:eastAsia="黑体" w:cs="黑体"/>
          <w:b/>
          <w:i/>
          <w:iCs/>
          <w:color w:val="auto"/>
          <w:sz w:val="32"/>
          <w:szCs w:val="32"/>
          <w:highlight w:val="none"/>
          <w:u w:val="single"/>
        </w:rPr>
        <w:t xml:space="preserve">投标分项报价表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17"/>
        <w:gridCol w:w="709"/>
        <w:gridCol w:w="709"/>
        <w:gridCol w:w="755"/>
        <w:gridCol w:w="804"/>
        <w:gridCol w:w="709"/>
        <w:gridCol w:w="850"/>
        <w:gridCol w:w="1276"/>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8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03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3"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本采购包中提供的符合本国产品标准的产品成本之和占该采购包提供的全部产品成本之和的比例为</w:t>
            </w:r>
            <w:r>
              <w:rPr>
                <w:rFonts w:ascii="SimSun" w:hAnsi="SimSun" w:eastAsia="SimSun" w:cs="SimSun"/>
                <w:color w:val="ff0000"/>
                <w:sz w:val="24"/>
                <w:u w:val="single"/>
              </w:rPr>
              <w:t xml:space="preserve">***</w:t>
            </w:r>
            <w:r>
              <w:rPr>
                <w:rFonts w:ascii="SimSun" w:hAnsi="SimSun" w:eastAsia="SimSun" w:cs="SimSun"/>
                <w:color w:val="ff0000"/>
                <w:sz w:val="24"/>
              </w:rPr>
              <w:t xml:space="preserve">%。</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26"/>
        </w:numPr>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投标分项报价表</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（备注：该表仅适用于项目采用货币报价的情形。项目采用折扣率报价的，如需要填写投标分项报价表，请项目经办人自行设计表格。招标文件定稿后该备注删除。）</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shd w:val="nil" w:color="auto"/>
        <w:rPr>
          <w:color w:val="auto"/>
          <w:highlight w:val="none"/>
        </w:rPr>
      </w:pPr>
      <w:r>
        <w:rPr>
          <w:color w:val="auto"/>
          <w:highlight w:val="none"/>
        </w:rPr>
        <w:br w:type="page" w:clear="all"/>
      </w:r>
      <w:r>
        <w:rPr>
          <w:color w:val="auto"/>
          <w:highlight w:val="none"/>
        </w:rPr>
      </w:r>
      <w:r/>
    </w:p>
    <w:p>
      <w:pPr>
        <w:pStyle w:val="921"/>
        <w:jc w:val="both"/>
        <w:spacing w:beforeAutospacing="0" w:afterAutospacing="0"/>
        <w:rPr>
          <w:color w:val="auto"/>
          <w:highlight w:val="none"/>
        </w:rPr>
      </w:pPr>
      <w:r>
        <w:rPr>
          <w:color w:val="auto"/>
          <w:highlight w:val="none"/>
        </w:rPr>
      </w:r>
      <w:r>
        <w:rPr>
          <w:color w:val="auto"/>
          <w:highlight w:val="none"/>
        </w:rPr>
      </w:r>
      <w:r/>
    </w:p>
    <w:p>
      <w:pPr>
        <w:pStyle w:val="921"/>
        <w:jc w:val="center"/>
        <w:spacing w:beforeAutospacing="0" w:afterAutospacing="0"/>
        <w:rPr>
          <w:i/>
          <w:iCs/>
          <w:color w:val="auto"/>
          <w:highlight w:val="none"/>
          <w:u w:val="single"/>
        </w:rPr>
      </w:pPr>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三</w:t>
      </w:r>
      <w:r>
        <w:rPr>
          <w:rFonts w:hint="eastAsia" w:ascii="黑体" w:hAnsi="宋体" w:eastAsia="黑体" w:cs="黑体"/>
          <w:b/>
          <w:i/>
          <w:iCs/>
          <w:color w:val="auto"/>
          <w:sz w:val="32"/>
          <w:szCs w:val="32"/>
          <w:highlight w:val="none"/>
          <w:u w:val="single"/>
        </w:rPr>
        <w:t xml:space="preserve">、技术要求响应及偏离表</w:t>
      </w:r>
      <w:r/>
    </w:p>
    <w:tbl>
      <w:tblPr>
        <w:tblStyle w:val="91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bl>
    <w:p>
      <w:pPr>
        <w:pStyle w:val="92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pStyle w:val="921"/>
        <w:jc w:val="center"/>
        <w:spacing w:beforeAutospacing="0" w:afterAutospacing="0"/>
        <w:rPr>
          <w:i/>
          <w:iCs/>
          <w:color w:val="auto"/>
          <w:highlight w:val="none"/>
          <w:u w:val="single"/>
        </w:rPr>
      </w:pPr>
      <w:r/>
      <w:bookmarkStart w:id="196" w:name="_Hlt26955054"/>
      <w:r>
        <w:rPr>
          <w:rFonts w:hint="eastAsia" w:ascii="黑体" w:hAnsi="宋体" w:eastAsia="黑体" w:cs="黑体"/>
          <w:b/>
          <w:i/>
          <w:iCs/>
          <w:color w:val="auto"/>
          <w:sz w:val="32"/>
          <w:szCs w:val="32"/>
          <w:highlight w:val="none"/>
          <w:u w:val="single"/>
        </w:rPr>
        <w:t xml:space="preserve">十</w:t>
      </w:r>
      <w:r>
        <w:rPr>
          <w:rFonts w:hint="eastAsia" w:ascii="黑体" w:hAnsi="宋体" w:eastAsia="黑体" w:cs="黑体"/>
          <w:b/>
          <w:i/>
          <w:iCs/>
          <w:color w:val="auto"/>
          <w:sz w:val="32"/>
          <w:szCs w:val="32"/>
          <w:highlight w:val="none"/>
          <w:u w:val="single"/>
          <w:lang w:val="en-US" w:eastAsia="zh-CN"/>
        </w:rPr>
        <w:t xml:space="preserve">四</w:t>
      </w:r>
      <w:r>
        <w:rPr>
          <w:rFonts w:hint="eastAsia" w:ascii="黑体" w:hAnsi="宋体" w:eastAsia="黑体" w:cs="黑体"/>
          <w:b/>
          <w:i/>
          <w:iCs/>
          <w:color w:val="auto"/>
          <w:sz w:val="32"/>
          <w:szCs w:val="32"/>
          <w:highlight w:val="none"/>
          <w:u w:val="single"/>
        </w:rPr>
        <w:t xml:space="preserve">、商务要求响应及偏离表</w:t>
      </w:r>
      <w:r/>
    </w:p>
    <w:tbl>
      <w:tblPr>
        <w:tblStyle w:val="91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bookmarkStart w:id="197" w:name="_Hlt26955064"/>
            <w:r/>
            <w:bookmarkStart w:id="198" w:name="_Hlt26609391"/>
            <w:r/>
            <w:bookmarkStart w:id="199" w:name="_Hlt24879081"/>
            <w:r/>
            <w:bookmarkStart w:id="200" w:name="_Hlt26782999"/>
            <w:r/>
            <w:bookmarkStart w:id="201" w:name="_Hlt26955056"/>
            <w:r/>
            <w:bookmarkStart w:id="202" w:name="_Hlt26671343"/>
            <w:r/>
            <w:bookmarkStart w:id="203" w:name="_Hlt26580838"/>
            <w:r/>
            <w:bookmarkStart w:id="204" w:name="_Hlt26671372"/>
            <w:r>
              <w:rPr>
                <w:rFonts w:hint="eastAsia" w:ascii="宋体" w:hAnsi="宋体" w:eastAsia="宋体" w:cs="宋体"/>
                <w:color w:val="auto"/>
                <w:highlight w:val="none"/>
              </w:rPr>
              <w:t xml:space="preserve">序号</w:t>
            </w:r>
            <w:bookmarkEnd w:id="197"/>
            <w:r/>
            <w:bookmarkEnd w:id="198"/>
            <w:r/>
            <w:bookmarkEnd w:id="199"/>
            <w:r/>
            <w:bookmarkEnd w:id="200"/>
            <w:r/>
            <w:bookmarkEnd w:id="201"/>
            <w:r/>
            <w:bookmarkEnd w:id="202"/>
            <w:r/>
            <w:bookmarkEnd w:id="203"/>
            <w:r/>
            <w:bookmarkEnd w:id="204"/>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1"/>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1"/>
              <w:jc w:val="center"/>
              <w:spacing w:beforeAutospacing="0" w:afterAutospacing="0"/>
              <w:rPr>
                <w:color w:val="auto"/>
                <w:highlight w:val="none"/>
              </w:rPr>
            </w:pPr>
            <w:r>
              <w:rPr>
                <w:color w:val="auto"/>
                <w:highlight w:val="none"/>
              </w:rPr>
              <w:t xml:space="preserve"> </w:t>
            </w:r>
            <w:r/>
          </w:p>
        </w:tc>
      </w:tr>
    </w:tbl>
    <w:p>
      <w:pPr>
        <w:pStyle w:val="92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921"/>
        <w:jc w:val="both"/>
        <w:spacing w:beforeAutospacing="0" w:afterAutospacing="0" w:line="480" w:lineRule="auto"/>
        <w:rPr>
          <w:color w:val="auto"/>
          <w:highlight w:val="none"/>
        </w:rPr>
      </w:pPr>
      <w:r>
        <w:rPr>
          <w:color w:val="auto"/>
          <w:highlight w:val="none"/>
        </w:rPr>
        <w:t xml:space="preserve"> </w:t>
      </w:r>
      <w:r/>
    </w:p>
    <w:p>
      <w:pPr>
        <w:pStyle w:val="921"/>
        <w:jc w:val="both"/>
        <w:spacing w:beforeAutospacing="0" w:afterAutospacing="0" w:line="480" w:lineRule="auto"/>
        <w:rPr>
          <w:color w:val="auto"/>
          <w:highlight w:val="none"/>
        </w:rPr>
      </w:pPr>
      <w:r>
        <w:rPr>
          <w:color w:val="auto"/>
          <w:highlight w:val="none"/>
        </w:rPr>
        <w:t xml:space="preserve"> </w:t>
      </w:r>
      <w:r/>
    </w:p>
    <w:p>
      <w:pPr>
        <w:pStyle w:val="921"/>
        <w:jc w:val="center"/>
        <w:spacing w:beforeAutospacing="0" w:afterAutospacing="0"/>
        <w:rPr>
          <w:color w:val="auto"/>
          <w:highlight w:val="none"/>
        </w:rPr>
      </w:pPr>
      <w:r/>
      <w:bookmarkStart w:id="205" w:name="_Hlt26671374"/>
      <w:r/>
      <w:bookmarkStart w:id="206" w:name="_格式2__法定代表人授权书"/>
      <w:r/>
      <w:bookmarkStart w:id="207" w:name="_Toc462564146"/>
      <w:r/>
      <w:bookmarkStart w:id="208" w:name="_Hlt26609389"/>
      <w:r/>
      <w:bookmarkStart w:id="209" w:name="_Hlt26955066"/>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center"/>
        <w:spacing w:beforeAutospacing="0" w:afterAutospacing="0"/>
        <w:rPr>
          <w:color w:val="auto"/>
          <w:highlight w:val="none"/>
        </w:rPr>
      </w:pPr>
      <w:r>
        <w:rPr>
          <w:color w:val="auto"/>
          <w:highlight w:val="none"/>
        </w:rPr>
        <w:t xml:space="preserve"> </w:t>
      </w:r>
      <w:r/>
    </w:p>
    <w:p>
      <w:pPr>
        <w:pStyle w:val="921"/>
        <w:jc w:val="both"/>
        <w:spacing w:beforeAutospacing="0" w:afterAutospacing="0"/>
        <w:rPr>
          <w:color w:val="auto"/>
          <w:highlight w:val="none"/>
        </w:rPr>
      </w:pPr>
      <w:r>
        <w:rPr>
          <w:color w:val="auto"/>
          <w:highlight w:val="none"/>
        </w:rPr>
        <w:t xml:space="preserve"> </w:t>
      </w:r>
      <w:r/>
    </w:p>
    <w:p>
      <w:pPr>
        <w:shd w:val="nil" w:color="auto"/>
        <w:rPr>
          <w:color w:val="auto"/>
          <w:highlight w:val="none"/>
        </w:rPr>
      </w:pPr>
      <w:r>
        <w:rPr>
          <w:color w:val="auto"/>
          <w:highlight w:val="none"/>
        </w:rPr>
        <w:br w:type="page" w:clear="all"/>
      </w:r>
      <w:r>
        <w:rPr>
          <w:color w:val="auto"/>
          <w:highlight w:val="none"/>
        </w:rPr>
      </w:r>
      <w:r/>
    </w:p>
    <w:p>
      <w:pPr>
        <w:pStyle w:val="921"/>
        <w:jc w:val="both"/>
        <w:spacing w:beforeAutospacing="0" w:afterAutospacing="0"/>
        <w:rPr>
          <w:color w:val="auto"/>
          <w:highlight w:val="none"/>
        </w:rPr>
      </w:pPr>
      <w:r>
        <w:rPr>
          <w:color w:val="auto"/>
          <w:highlight w:val="none"/>
        </w:rPr>
      </w:r>
      <w:r>
        <w:rPr>
          <w:color w:val="auto"/>
          <w:highlight w:val="none"/>
        </w:rPr>
      </w:r>
      <w:r/>
    </w:p>
    <w:p>
      <w:pPr>
        <w:pStyle w:val="921"/>
        <w:jc w:val="center"/>
        <w:spacing w:beforeAutospacing="0" w:afterAutospacing="0"/>
        <w:rPr>
          <w:i/>
          <w:iCs w:val="0"/>
          <w:color w:val="auto"/>
          <w:highlight w:val="none"/>
          <w:shd w:val="clear" w:color="auto" w:fill="auto"/>
        </w:rPr>
      </w:pPr>
      <w:r>
        <w:rPr>
          <w:rFonts w:hint="eastAsia" w:ascii="黑体" w:hAnsi="宋体" w:eastAsia="黑体" w:cs="黑体"/>
          <w:b/>
          <w:i/>
          <w:iCs w:val="0"/>
          <w:color w:val="auto"/>
          <w:sz w:val="32"/>
          <w:szCs w:val="32"/>
          <w:highlight w:val="none"/>
          <w:u w:val="single"/>
        </w:rPr>
        <w:t xml:space="preserve">十</w:t>
      </w:r>
      <w:r>
        <w:rPr>
          <w:rFonts w:hint="eastAsia" w:ascii="黑体" w:hAnsi="宋体" w:eastAsia="黑体" w:cs="黑体"/>
          <w:b/>
          <w:i/>
          <w:iCs w:val="0"/>
          <w:color w:val="auto"/>
          <w:sz w:val="32"/>
          <w:szCs w:val="32"/>
          <w:highlight w:val="none"/>
          <w:u w:val="single"/>
          <w:lang w:val="en-US" w:eastAsia="zh-CN"/>
        </w:rPr>
        <w:t xml:space="preserve">五</w:t>
      </w:r>
      <w:r>
        <w:rPr>
          <w:rFonts w:hint="eastAsia" w:ascii="黑体" w:hAnsi="宋体" w:eastAsia="黑体" w:cs="黑体"/>
          <w:b/>
          <w:i/>
          <w:iCs w:val="0"/>
          <w:color w:val="auto"/>
          <w:sz w:val="32"/>
          <w:szCs w:val="32"/>
          <w:highlight w:val="none"/>
          <w:u w:val="single"/>
        </w:rPr>
        <w:t xml:space="preserve">、开标一览表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投标人全称（CA公章）： 供应商名称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项目名称：项目名称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项目编号：项目编号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分包号： 分包号 </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3"/>
        <w:gridCol w:w="6822"/>
      </w:tblGrid>
      <w:tr>
        <w:trPr>
          <w:trHeight w:val="81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投标货物名称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2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总价（小写）</w:t>
            </w:r>
            <w:r/>
          </w:p>
        </w:tc>
      </w:tr>
      <w:tr>
        <w:trPr>
          <w:trHeight w:val="82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投标产品名称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2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5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核心产品品牌：</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2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年  月  日</w:t>
      </w:r>
      <w:r/>
    </w:p>
    <w:p>
      <w:pPr>
        <w:pStyle w:val="921"/>
        <w:ind w:firstLine="480"/>
        <w:jc w:val="both"/>
        <w:spacing w:beforeAutospacing="0" w:afterAutospacing="0"/>
      </w:pPr>
      <w:r>
        <w:rPr>
          <w:color w:val="auto"/>
          <w:highlight w:val="none"/>
        </w:rPr>
      </w:r>
      <w:r/>
    </w:p>
    <w:p>
      <w:pPr>
        <w:pStyle w:val="921"/>
        <w:ind w:firstLine="480"/>
        <w:jc w:val="both"/>
        <w:spacing w:beforeAutospacing="0" w:afterAutospacing="0"/>
        <w:rPr>
          <w:rFonts w:hint="eastAsia" w:ascii="宋体" w:hAnsi="宋体" w:eastAsia="宋体" w:cs="宋体"/>
          <w:color w:val="auto"/>
          <w:highlight w:val="none"/>
        </w:rPr>
      </w:pPr>
      <w:r>
        <w:rPr>
          <w:color w:val="auto"/>
          <w:highlight w:val="none"/>
        </w:rPr>
        <w:t xml:space="preserve"> </w:t>
      </w:r>
      <w:r>
        <w:rPr>
          <w:color w:val="auto"/>
          <w:highlight w:val="none"/>
        </w:rPr>
      </w:r>
      <w:r/>
    </w:p>
    <w:p>
      <w:pPr>
        <w:pStyle w:val="921"/>
        <w:ind w:firstLine="480"/>
        <w:jc w:val="both"/>
        <w:spacing w:beforeAutospacing="0" w:afterAutospacing="0"/>
        <w:rPr>
          <w:color w:val="auto"/>
          <w:highlight w:val="none"/>
        </w:rPr>
      </w:pPr>
      <w:r>
        <w:rPr>
          <w:color w:val="auto"/>
          <w:highlight w:val="none"/>
        </w:rPr>
      </w:r>
      <w:r/>
    </w:p>
    <w:p>
      <w:pPr>
        <w:pStyle w:val="921"/>
        <w:ind w:firstLine="480"/>
        <w:jc w:val="both"/>
        <w:spacing w:beforeAutospacing="0" w:afterAutospacing="0"/>
        <w:rPr>
          <w:color w:val="auto"/>
          <w:highlight w:val="none"/>
        </w:rPr>
      </w:pPr>
      <w:r>
        <w:rPr>
          <w:color w:val="auto"/>
          <w:highlight w:val="none"/>
        </w:rPr>
        <w:t xml:space="preserve"> </w:t>
      </w:r>
      <w:r/>
    </w:p>
    <w:p>
      <w:pPr>
        <w:pStyle w:val="921"/>
        <w:ind w:firstLine="480"/>
        <w:jc w:val="both"/>
        <w:spacing w:beforeAutospacing="0" w:afterAutospacing="0"/>
        <w:rPr>
          <w:color w:val="auto"/>
          <w:highlight w:val="none"/>
        </w:rPr>
      </w:pPr>
      <w:r>
        <w:rPr>
          <w:color w:val="auto"/>
          <w:highlight w:val="none"/>
        </w:rPr>
      </w:r>
      <w:r/>
    </w:p>
    <w:p>
      <w:pPr>
        <w:pStyle w:val="921"/>
        <w:ind w:firstLine="480"/>
        <w:jc w:val="both"/>
        <w:spacing w:beforeAutospacing="0" w:afterAutospacing="0"/>
        <w:rPr>
          <w:color w:val="auto"/>
          <w:highlight w:val="none"/>
        </w:rPr>
      </w:pPr>
      <w:r>
        <w:rPr>
          <w:color w:val="auto"/>
          <w:highlight w:val="none"/>
        </w:rPr>
      </w:r>
      <w:r/>
    </w:p>
    <w:p>
      <w:pPr>
        <w:pStyle w:val="921"/>
        <w:ind w:firstLine="480"/>
        <w:jc w:val="both"/>
        <w:spacing w:beforeAutospacing="0" w:afterAutospacing="0"/>
        <w:rPr>
          <w:color w:val="auto"/>
          <w:highlight w:val="none"/>
        </w:rPr>
      </w:pPr>
      <w:r>
        <w:rPr>
          <w:color w:val="auto"/>
          <w:highlight w:val="none"/>
        </w:rPr>
      </w:r>
      <w:r/>
    </w:p>
    <w:p>
      <w:pPr>
        <w:pStyle w:val="921"/>
        <w:ind w:firstLine="480"/>
        <w:jc w:val="both"/>
        <w:spacing w:beforeAutospacing="0" w:afterAutospacing="0"/>
        <w:rPr>
          <w:color w:val="auto"/>
          <w:highlight w:val="none"/>
        </w:rPr>
      </w:pPr>
      <w:r>
        <w:rPr>
          <w:color w:val="auto"/>
          <w:highlight w:val="none"/>
        </w:rPr>
      </w:r>
      <w:r/>
    </w:p>
    <w:p>
      <w:pPr>
        <w:pStyle w:val="921"/>
        <w:ind w:firstLine="480"/>
        <w:jc w:val="both"/>
        <w:spacing w:beforeAutospacing="0" w:afterAutospacing="0"/>
        <w:rPr>
          <w:color w:val="auto"/>
          <w:highlight w:val="none"/>
        </w:rPr>
      </w:pPr>
      <w:r>
        <w:rPr>
          <w:color w:val="auto"/>
          <w:highlight w:val="none"/>
        </w:rPr>
      </w:r>
      <w:r/>
    </w:p>
    <w:p>
      <w:pPr>
        <w:pStyle w:val="921"/>
        <w:ind w:firstLine="480"/>
        <w:jc w:val="both"/>
        <w:spacing w:beforeAutospacing="0" w:afterAutospacing="0"/>
        <w:rPr>
          <w:color w:val="auto"/>
          <w:highlight w:val="none"/>
        </w:rPr>
      </w:pPr>
      <w:r>
        <w:rPr>
          <w:color w:val="auto"/>
          <w:highlight w:val="none"/>
        </w:rPr>
      </w:r>
      <w:r/>
    </w:p>
    <w:p>
      <w:pPr>
        <w:pStyle w:val="921"/>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921"/>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921"/>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color w:val="auto"/>
          <w:highlight w:val="none"/>
        </w:rPr>
      </w:pPr>
      <w:r>
        <w:rPr>
          <w:color w:val="auto"/>
          <w:highlight w:val="none"/>
        </w:rPr>
        <w:br w:type="page" w:clear="all"/>
      </w:r>
      <w:r/>
    </w:p>
    <w:p>
      <w:pPr>
        <w:jc w:val="center"/>
        <w:spacing w:before="50" w:after="50"/>
        <w:widowControl/>
        <w:rPr>
          <w:rFonts w:ascii="宋体" w:hAnsi="宋体" w:eastAsia="宋体" w:cs="宋体"/>
          <w:b/>
          <w:bCs/>
          <w:i/>
          <w:iCs/>
          <w:color w:val="auto"/>
          <w:sz w:val="24"/>
          <w:highlight w:val="none"/>
          <w:u w:val="single"/>
        </w:rPr>
      </w:pPr>
      <w:r>
        <w:rPr>
          <w:b/>
          <w:bCs/>
          <w:i/>
          <w:iCs/>
          <w:color w:val="auto"/>
          <w:highlight w:val="none"/>
          <w:u w:val="none"/>
        </w:rPr>
        <w:tab/>
      </w: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六</w:t>
      </w:r>
      <w:r>
        <w:rPr>
          <w:rFonts w:hint="eastAsia" w:ascii="宋体" w:hAnsi="宋体" w:eastAsia="宋体" w:cs="宋体"/>
          <w:b/>
          <w:bCs/>
          <w:i/>
          <w:iCs/>
          <w:color w:val="auto"/>
          <w:sz w:val="32"/>
          <w:szCs w:val="32"/>
          <w:highlight w:val="none"/>
          <w:u w:val="single"/>
        </w:rPr>
        <w:t xml:space="preserve">、</w:t>
      </w:r>
      <w:r>
        <w:rPr>
          <w:rFonts w:hint="eastAsia" w:ascii="宋体" w:hAnsi="宋体" w:eastAsia="宋体" w:cs="宋体"/>
          <w:b/>
          <w:bCs/>
          <w:i/>
          <w:iCs/>
          <w:color w:val="auto"/>
          <w:sz w:val="32"/>
          <w:szCs w:val="32"/>
          <w:highlight w:val="none"/>
          <w:u w:val="single"/>
          <w:lang w:val="en-US" w:eastAsia="zh-CN"/>
        </w:rPr>
        <w:t xml:space="preserve">服务方案</w:t>
      </w:r>
      <w:r>
        <w:rPr>
          <w:rFonts w:hint="eastAsia" w:ascii="宋体" w:hAnsi="宋体" w:eastAsia="宋体" w:cs="宋体"/>
          <w:b/>
          <w:bCs/>
          <w:i/>
          <w:iCs/>
          <w:color w:val="auto"/>
          <w:sz w:val="32"/>
          <w:szCs w:val="32"/>
          <w:highlight w:val="none"/>
          <w:u w:val="single"/>
        </w:rPr>
        <w:t xml:space="preserve">等</w:t>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1600"/>
        <w:spacing w:line="499" w:lineRule="atLeast"/>
        <w:widowControl/>
        <w:rPr>
          <w:rFonts w:ascii="宋体" w:hAnsi="宋体" w:eastAsia="宋体" w:cs="宋体"/>
          <w:b/>
          <w:bCs/>
          <w:i/>
          <w:iCs/>
          <w:color w:val="auto"/>
          <w:sz w:val="24"/>
          <w:highlight w:val="none"/>
          <w:u w:val="single"/>
        </w:rPr>
      </w:pP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七</w:t>
      </w:r>
      <w:r>
        <w:rPr>
          <w:rFonts w:hint="eastAsia" w:ascii="宋体" w:hAnsi="宋体" w:eastAsia="宋体" w:cs="宋体"/>
          <w:b/>
          <w:bCs/>
          <w:i/>
          <w:iCs/>
          <w:color w:val="auto"/>
          <w:sz w:val="32"/>
          <w:szCs w:val="32"/>
          <w:highlight w:val="none"/>
          <w:u w:val="singl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921"/>
        <w:jc w:val="center"/>
        <w:spacing w:beforeAutospacing="0" w:afterAutospacing="0"/>
        <w:rPr>
          <w:color w:val="auto"/>
          <w:highlight w:val="none"/>
        </w:rPr>
      </w:pPr>
      <w:r>
        <w:rPr>
          <w:color w:val="auto"/>
          <w:highlight w:val="none"/>
        </w:rPr>
      </w:r>
      <w:r/>
    </w:p>
    <w:p>
      <w:pPr>
        <w:pStyle w:val="921"/>
        <w:jc w:val="center"/>
        <w:spacing w:beforeAutospacing="0" w:afterAutospacing="0"/>
        <w:rPr>
          <w:color w:val="auto"/>
          <w:highlight w:val="none"/>
        </w:rPr>
      </w:pPr>
      <w:r>
        <w:rPr>
          <w:color w:val="auto"/>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5"/>
      <w:r/>
      <w:bookmarkEnd w:id="189"/>
      <w:r/>
      <w:bookmarkEnd w:id="190"/>
      <w:r/>
      <w:bookmarkEnd w:id="191"/>
      <w:r/>
      <w:bookmarkEnd w:id="192"/>
      <w:r/>
      <w:bookmarkEnd w:id="193"/>
      <w:r/>
      <w:bookmarkEnd w:id="194"/>
      <w:r/>
      <w:bookmarkEnd w:id="195"/>
      <w:r/>
      <w:bookmarkEnd w:id="196"/>
      <w:r/>
      <w:bookmarkEnd w:id="205"/>
      <w:r/>
      <w:bookmarkEnd w:id="206"/>
      <w:r/>
      <w:bookmarkEnd w:id="207"/>
      <w:r/>
      <w:bookmarkEnd w:id="208"/>
      <w:r/>
      <w:bookmarkEnd w:id="209"/>
      <w:r/>
      <w:r/>
    </w:p>
    <w:p>
      <w:pPr>
        <w:numPr>
          <w:ilvl w:val="0"/>
          <w:numId w:val="25"/>
        </w:numPr>
        <w:jc w:val="center"/>
        <w:spacing w:line="499" w:lineRule="atLeast"/>
        <w:widowControl/>
        <w:rPr>
          <w:rFonts w:hint="eastAsia" w:ascii="宋体" w:hAnsi="宋体" w:eastAsia="宋体" w:cs="宋体"/>
          <w:b/>
          <w:bCs/>
          <w:i/>
          <w:iCs/>
          <w:color w:val="auto"/>
          <w:sz w:val="32"/>
          <w:szCs w:val="32"/>
          <w:highlight w:val="none"/>
          <w:u w:val="single"/>
          <w:lang w:val="en-US" w:eastAsia="zh-CN"/>
        </w:rPr>
      </w:pPr>
      <w:r>
        <w:rPr>
          <w:rFonts w:hint="eastAsia" w:ascii="宋体" w:hAnsi="宋体" w:eastAsia="宋体" w:cs="宋体"/>
          <w:b/>
          <w:bCs/>
          <w:i/>
          <w:iCs/>
          <w:color w:val="auto"/>
          <w:sz w:val="32"/>
          <w:szCs w:val="32"/>
          <w:highlight w:val="none"/>
          <w:u w:val="single"/>
          <w:lang w:val="en-US" w:eastAsia="zh-CN"/>
        </w:rPr>
        <w:t xml:space="preserve">招标文件中规定要求提供的材料和投标人认为需要提供的其他材料</w:t>
      </w:r>
      <w:r/>
    </w:p>
    <w:p>
      <w:pPr>
        <w:pStyle w:val="922"/>
        <w:numPr>
          <w:ilvl w:val="0"/>
          <w:numId w:val="0"/>
        </w:numPr>
        <w:rPr>
          <w:rFonts w:hint="default"/>
          <w:lang w:val="en-US" w:eastAsia="zh-CN"/>
        </w:rPr>
      </w:pPr>
      <w:r>
        <w:rPr>
          <w:rFonts w:hint="eastAsia"/>
          <w:lang w:val="en-US" w:eastAsia="zh-CN"/>
        </w:rPr>
        <w:t xml:space="preserve">（评分标准或招标文件中要求提供的材料，格式自拟）</w:t>
      </w:r>
      <w:r/>
    </w:p>
    <w:p>
      <w:pPr>
        <w:pStyle w:val="92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21"/>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921"/>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92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92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92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921"/>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92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92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92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92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92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21"/>
        <w:spacing w:beforeAutospacing="0" w:afterAutospacing="0"/>
        <w:rPr>
          <w:color w:val="auto"/>
          <w:highlight w:val="none"/>
        </w:rPr>
      </w:pPr>
      <w:r>
        <w:rPr>
          <w:color w:val="auto"/>
          <w:highlight w:val="none"/>
        </w:r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华文中宋">
    <w:panose1 w:val="0201060004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9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3"/>
  </w:num>
  <w:num w:numId="3">
    <w:abstractNumId w:val="5"/>
  </w:num>
  <w:num w:numId="4">
    <w:abstractNumId w:val="22"/>
  </w:num>
  <w:num w:numId="5">
    <w:abstractNumId w:val="7"/>
    <w:lvlOverride w:ilvl="0">
      <w:startOverride w:val="2"/>
    </w:lvlOverride>
  </w:num>
  <w:num w:numId="6">
    <w:abstractNumId w:val="6"/>
    <w:lvlOverride w:ilvl="0">
      <w:startOverride w:val="6"/>
    </w:lvlOverride>
  </w:num>
  <w:num w:numId="7">
    <w:abstractNumId w:val="4"/>
    <w:lvlOverride w:ilvl="0">
      <w:startOverride w:val="16"/>
    </w:lvlOverride>
  </w:num>
  <w:num w:numId="8">
    <w:abstractNumId w:val="8"/>
    <w:lvlOverride w:ilvl="0">
      <w:startOverride w:val="23"/>
    </w:lvlOverride>
  </w:num>
  <w:num w:numId="9">
    <w:abstractNumId w:val="16"/>
  </w:num>
  <w:num w:numId="10">
    <w:abstractNumId w:val="0"/>
  </w:num>
  <w:num w:numId="11">
    <w:abstractNumId w:val="11"/>
  </w:num>
  <w:num w:numId="12">
    <w:abstractNumId w:val="17"/>
  </w:num>
  <w:num w:numId="13">
    <w:abstractNumId w:val="10"/>
  </w:num>
  <w:num w:numId="14">
    <w:abstractNumId w:val="23"/>
  </w:num>
  <w:num w:numId="15">
    <w:abstractNumId w:val="20"/>
  </w:num>
  <w:num w:numId="16">
    <w:abstractNumId w:val="15"/>
  </w:num>
  <w:num w:numId="17">
    <w:abstractNumId w:val="21"/>
  </w:num>
  <w:num w:numId="18">
    <w:abstractNumId w:val="2"/>
  </w:num>
  <w:num w:numId="19">
    <w:abstractNumId w:val="24"/>
  </w:num>
  <w:num w:numId="20">
    <w:abstractNumId w:val="1"/>
  </w:num>
  <w:num w:numId="21">
    <w:abstractNumId w:val="12"/>
  </w:num>
  <w:num w:numId="22">
    <w:abstractNumId w:val="18"/>
  </w:num>
  <w:num w:numId="23">
    <w:abstractNumId w:val="9"/>
  </w:num>
  <w:num w:numId="24">
    <w:abstractNumId w:val="3"/>
  </w:num>
  <w:num w:numId="25">
    <w:abstractNumId w:val="19"/>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11"/>
    <w:next w:val="911"/>
    <w:link w:val="737"/>
    <w:uiPriority w:val="9"/>
    <w:qFormat/>
    <w:pPr>
      <w:keepLines/>
      <w:keepNext/>
      <w:spacing w:before="480" w:after="200"/>
      <w:outlineLvl w:val="0"/>
    </w:pPr>
    <w:rPr>
      <w:rFonts w:ascii="Arial" w:hAnsi="Arial" w:eastAsia="Arial" w:cs="Arial"/>
      <w:sz w:val="40"/>
      <w:szCs w:val="40"/>
    </w:rPr>
  </w:style>
  <w:style w:type="character" w:styleId="737">
    <w:name w:val="Heading 1 Char"/>
    <w:basedOn w:val="913"/>
    <w:link w:val="736"/>
    <w:uiPriority w:val="9"/>
    <w:rPr>
      <w:rFonts w:ascii="Arial" w:hAnsi="Arial" w:eastAsia="Arial" w:cs="Arial"/>
      <w:sz w:val="40"/>
      <w:szCs w:val="40"/>
    </w:rPr>
  </w:style>
  <w:style w:type="character" w:styleId="738">
    <w:name w:val="Heading 2 Char"/>
    <w:basedOn w:val="913"/>
    <w:link w:val="912"/>
    <w:uiPriority w:val="9"/>
    <w:rPr>
      <w:rFonts w:ascii="Arial" w:hAnsi="Arial" w:eastAsia="Arial" w:cs="Arial"/>
      <w:sz w:val="34"/>
    </w:rPr>
  </w:style>
  <w:style w:type="paragraph" w:styleId="739">
    <w:name w:val="Heading 3"/>
    <w:basedOn w:val="911"/>
    <w:next w:val="911"/>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basedOn w:val="913"/>
    <w:link w:val="739"/>
    <w:uiPriority w:val="9"/>
    <w:rPr>
      <w:rFonts w:ascii="Arial" w:hAnsi="Arial" w:eastAsia="Arial" w:cs="Arial"/>
      <w:sz w:val="30"/>
      <w:szCs w:val="30"/>
    </w:rPr>
  </w:style>
  <w:style w:type="paragraph" w:styleId="741">
    <w:name w:val="Heading 4"/>
    <w:basedOn w:val="911"/>
    <w:next w:val="911"/>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basedOn w:val="913"/>
    <w:link w:val="741"/>
    <w:uiPriority w:val="9"/>
    <w:rPr>
      <w:rFonts w:ascii="Arial" w:hAnsi="Arial" w:eastAsia="Arial" w:cs="Arial"/>
      <w:b/>
      <w:bCs/>
      <w:sz w:val="26"/>
      <w:szCs w:val="26"/>
    </w:rPr>
  </w:style>
  <w:style w:type="paragraph" w:styleId="743">
    <w:name w:val="Heading 5"/>
    <w:basedOn w:val="911"/>
    <w:next w:val="911"/>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basedOn w:val="913"/>
    <w:link w:val="743"/>
    <w:uiPriority w:val="9"/>
    <w:rPr>
      <w:rFonts w:ascii="Arial" w:hAnsi="Arial" w:eastAsia="Arial" w:cs="Arial"/>
      <w:b/>
      <w:bCs/>
      <w:sz w:val="24"/>
      <w:szCs w:val="24"/>
    </w:rPr>
  </w:style>
  <w:style w:type="paragraph" w:styleId="745">
    <w:name w:val="Heading 6"/>
    <w:basedOn w:val="911"/>
    <w:next w:val="911"/>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basedOn w:val="913"/>
    <w:link w:val="745"/>
    <w:uiPriority w:val="9"/>
    <w:rPr>
      <w:rFonts w:ascii="Arial" w:hAnsi="Arial" w:eastAsia="Arial" w:cs="Arial"/>
      <w:b/>
      <w:bCs/>
      <w:sz w:val="22"/>
      <w:szCs w:val="22"/>
    </w:rPr>
  </w:style>
  <w:style w:type="paragraph" w:styleId="747">
    <w:name w:val="Heading 7"/>
    <w:basedOn w:val="911"/>
    <w:next w:val="911"/>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basedOn w:val="913"/>
    <w:link w:val="747"/>
    <w:uiPriority w:val="9"/>
    <w:rPr>
      <w:rFonts w:ascii="Arial" w:hAnsi="Arial" w:eastAsia="Arial" w:cs="Arial"/>
      <w:b/>
      <w:bCs/>
      <w:i/>
      <w:iCs/>
      <w:sz w:val="22"/>
      <w:szCs w:val="22"/>
    </w:rPr>
  </w:style>
  <w:style w:type="paragraph" w:styleId="749">
    <w:name w:val="Heading 8"/>
    <w:basedOn w:val="911"/>
    <w:next w:val="911"/>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basedOn w:val="913"/>
    <w:link w:val="749"/>
    <w:uiPriority w:val="9"/>
    <w:rPr>
      <w:rFonts w:ascii="Arial" w:hAnsi="Arial" w:eastAsia="Arial" w:cs="Arial"/>
      <w:i/>
      <w:iCs/>
      <w:sz w:val="22"/>
      <w:szCs w:val="22"/>
    </w:rPr>
  </w:style>
  <w:style w:type="paragraph" w:styleId="751">
    <w:name w:val="Heading 9"/>
    <w:basedOn w:val="911"/>
    <w:next w:val="911"/>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basedOn w:val="913"/>
    <w:link w:val="751"/>
    <w:uiPriority w:val="9"/>
    <w:rPr>
      <w:rFonts w:ascii="Arial" w:hAnsi="Arial" w:eastAsia="Arial" w:cs="Arial"/>
      <w:i/>
      <w:iCs/>
      <w:sz w:val="21"/>
      <w:szCs w:val="21"/>
    </w:rPr>
  </w:style>
  <w:style w:type="paragraph" w:styleId="753">
    <w:name w:val="List Paragraph"/>
    <w:basedOn w:val="911"/>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1"/>
    <w:next w:val="911"/>
    <w:link w:val="756"/>
    <w:uiPriority w:val="10"/>
    <w:qFormat/>
    <w:pPr>
      <w:contextualSpacing/>
      <w:spacing w:before="300" w:after="200"/>
    </w:pPr>
    <w:rPr>
      <w:sz w:val="48"/>
      <w:szCs w:val="48"/>
    </w:rPr>
  </w:style>
  <w:style w:type="character" w:styleId="756">
    <w:name w:val="Title Char"/>
    <w:basedOn w:val="913"/>
    <w:link w:val="755"/>
    <w:uiPriority w:val="10"/>
    <w:rPr>
      <w:sz w:val="48"/>
      <w:szCs w:val="48"/>
    </w:rPr>
  </w:style>
  <w:style w:type="paragraph" w:styleId="757">
    <w:name w:val="Subtitle"/>
    <w:basedOn w:val="911"/>
    <w:next w:val="911"/>
    <w:link w:val="758"/>
    <w:uiPriority w:val="11"/>
    <w:qFormat/>
    <w:pPr>
      <w:spacing w:before="200" w:after="200"/>
    </w:pPr>
    <w:rPr>
      <w:sz w:val="24"/>
      <w:szCs w:val="24"/>
    </w:rPr>
  </w:style>
  <w:style w:type="character" w:styleId="758">
    <w:name w:val="Subtitle Char"/>
    <w:basedOn w:val="913"/>
    <w:link w:val="757"/>
    <w:uiPriority w:val="11"/>
    <w:rPr>
      <w:sz w:val="24"/>
      <w:szCs w:val="24"/>
    </w:rPr>
  </w:style>
  <w:style w:type="paragraph" w:styleId="759">
    <w:name w:val="Quote"/>
    <w:basedOn w:val="911"/>
    <w:next w:val="911"/>
    <w:link w:val="760"/>
    <w:uiPriority w:val="29"/>
    <w:qFormat/>
    <w:pPr>
      <w:ind w:left="720" w:right="720"/>
    </w:pPr>
    <w:rPr>
      <w:i/>
    </w:rPr>
  </w:style>
  <w:style w:type="character" w:styleId="760">
    <w:name w:val="Quote Char"/>
    <w:link w:val="759"/>
    <w:uiPriority w:val="29"/>
    <w:rPr>
      <w:i/>
    </w:rPr>
  </w:style>
  <w:style w:type="paragraph" w:styleId="761">
    <w:name w:val="Intense Quote"/>
    <w:basedOn w:val="911"/>
    <w:next w:val="911"/>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3"/>
    <w:link w:val="920"/>
    <w:uiPriority w:val="99"/>
  </w:style>
  <w:style w:type="character" w:styleId="764">
    <w:name w:val="Footer Char"/>
    <w:basedOn w:val="913"/>
    <w:link w:val="919"/>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919"/>
    <w:uiPriority w:val="99"/>
  </w:style>
  <w:style w:type="table" w:styleId="767">
    <w:name w:val="Table Grid"/>
    <w:basedOn w:val="9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4">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5">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6">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7">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8">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9">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6">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9">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0">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1">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2">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3">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4">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6">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7">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8">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9">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0">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1">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0">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1">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2">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3">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4">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5">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7">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8">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9">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0">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1">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2">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4">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5">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6">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7">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8">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9">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1">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2">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3">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4">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5">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6">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basedOn w:val="913"/>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basedOn w:val="913"/>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12">
    <w:name w:val="Heading 2"/>
    <w:basedOn w:val="911"/>
    <w:next w:val="91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913" w:default="1">
    <w:name w:val="Default Paragraph Font"/>
    <w:uiPriority w:val="1"/>
    <w:semiHidden/>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customStyle="1">
    <w:name w:val="Default"/>
    <w:basedOn w:val="911"/>
    <w:uiPriority w:val="0"/>
    <w:semiHidden/>
    <w:qFormat/>
    <w:pPr>
      <w:jc w:val="left"/>
    </w:pPr>
    <w:rPr>
      <w:rFonts w:ascii="宋体" w:hAnsi="Calibri" w:cs="宋体"/>
      <w:color w:val="000000"/>
      <w:sz w:val="24"/>
    </w:rPr>
  </w:style>
  <w:style w:type="paragraph" w:styleId="916">
    <w:name w:val="annotation text"/>
    <w:basedOn w:val="911"/>
    <w:uiPriority w:val="0"/>
    <w:qFormat/>
    <w:pPr>
      <w:jc w:val="left"/>
    </w:pPr>
  </w:style>
  <w:style w:type="paragraph" w:styleId="917">
    <w:name w:val="Body Text"/>
    <w:basedOn w:val="911"/>
    <w:uiPriority w:val="0"/>
    <w:unhideWhenUsed/>
    <w:qFormat/>
    <w:pPr>
      <w:spacing w:after="120"/>
    </w:pPr>
    <w:rPr>
      <w:rFonts w:ascii="Calibri" w:hAnsi="Calibri"/>
      <w:szCs w:val="22"/>
    </w:rPr>
  </w:style>
  <w:style w:type="paragraph" w:styleId="918">
    <w:name w:val="Plain Text"/>
    <w:basedOn w:val="911"/>
    <w:uiPriority w:val="0"/>
    <w:unhideWhenUsed/>
    <w:qFormat/>
    <w:rPr>
      <w:rFonts w:ascii="宋体" w:hAnsi="Courier New" w:cs="Courier New"/>
      <w:szCs w:val="21"/>
    </w:rPr>
  </w:style>
  <w:style w:type="paragraph" w:styleId="919">
    <w:name w:val="Footer"/>
    <w:basedOn w:val="911"/>
    <w:link w:val="926"/>
    <w:uiPriority w:val="0"/>
    <w:qFormat/>
    <w:pPr>
      <w:jc w:val="left"/>
      <w:tabs>
        <w:tab w:val="center" w:pos="4153" w:leader="none"/>
        <w:tab w:val="right" w:pos="8306" w:leader="none"/>
      </w:tabs>
    </w:pPr>
    <w:rPr>
      <w:sz w:val="18"/>
      <w:szCs w:val="18"/>
    </w:rPr>
  </w:style>
  <w:style w:type="paragraph" w:styleId="920">
    <w:name w:val="Header"/>
    <w:basedOn w:val="911"/>
    <w:link w:val="925"/>
    <w:uiPriority w:val="0"/>
    <w:qFormat/>
    <w:pPr>
      <w:jc w:val="center"/>
      <w:tabs>
        <w:tab w:val="center" w:pos="4153" w:leader="none"/>
        <w:tab w:val="right" w:pos="8306" w:leader="none"/>
      </w:tabs>
      <w:pBdr>
        <w:bottom w:val="single" w:color="auto" w:sz="6" w:space="1"/>
      </w:pBdr>
    </w:pPr>
    <w:rPr>
      <w:sz w:val="18"/>
      <w:szCs w:val="18"/>
    </w:rPr>
  </w:style>
  <w:style w:type="paragraph" w:styleId="921">
    <w:name w:val="Normal (Web)"/>
    <w:basedOn w:val="911"/>
    <w:uiPriority w:val="0"/>
    <w:qFormat/>
    <w:pPr>
      <w:jc w:val="left"/>
      <w:spacing w:beforeAutospacing="1" w:afterAutospacing="1"/>
    </w:pPr>
    <w:rPr>
      <w:rFonts w:cs="Times New Roman"/>
      <w:sz w:val="24"/>
    </w:rPr>
  </w:style>
  <w:style w:type="paragraph" w:styleId="922">
    <w:name w:val="Body Text First Indent"/>
    <w:basedOn w:val="911"/>
    <w:next w:val="911"/>
    <w:uiPriority w:val="99"/>
    <w:qFormat/>
    <w:pPr>
      <w:ind w:firstLine="420"/>
    </w:pPr>
  </w:style>
  <w:style w:type="character" w:styleId="923">
    <w:name w:val="Strong"/>
    <w:basedOn w:val="913"/>
    <w:uiPriority w:val="0"/>
    <w:qFormat/>
    <w:rPr>
      <w:b/>
    </w:rPr>
  </w:style>
  <w:style w:type="character" w:styleId="924">
    <w:name w:val="Emphasis"/>
    <w:uiPriority w:val="0"/>
    <w:qFormat/>
    <w:rPr>
      <w:i/>
    </w:rPr>
  </w:style>
  <w:style w:type="character" w:styleId="925" w:customStyle="1">
    <w:name w:val="页眉 Char"/>
    <w:basedOn w:val="913"/>
    <w:link w:val="920"/>
    <w:uiPriority w:val="0"/>
    <w:qFormat/>
    <w:rPr>
      <w:rFonts w:asciiTheme="minorHAnsi" w:hAnsiTheme="minorHAnsi" w:eastAsiaTheme="minorEastAsia" w:cstheme="minorBidi"/>
      <w:sz w:val="18"/>
      <w:szCs w:val="18"/>
    </w:rPr>
  </w:style>
  <w:style w:type="character" w:styleId="926" w:customStyle="1">
    <w:name w:val="页脚 Char"/>
    <w:basedOn w:val="913"/>
    <w:link w:val="919"/>
    <w:uiPriority w:val="0"/>
    <w:qFormat/>
    <w:rPr>
      <w:rFonts w:asciiTheme="minorHAnsi" w:hAnsiTheme="minorHAnsi" w:eastAsiaTheme="minorEastAsia" w:cstheme="minorBidi"/>
      <w:sz w:val="18"/>
      <w:szCs w:val="18"/>
    </w:rPr>
  </w:style>
  <w:style w:type="paragraph" w:styleId="92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28" w:customStyle="1">
    <w:name w:val="页脚1"/>
    <w:basedOn w:val="911"/>
    <w:uiPriority w:val="99"/>
    <w:unhideWhenUsed/>
    <w:qFormat/>
    <w:pPr>
      <w:jc w:val="left"/>
      <w:tabs>
        <w:tab w:val="center" w:pos="4153" w:leader="none"/>
        <w:tab w:val="right" w:pos="8306" w:leader="none"/>
      </w:tabs>
    </w:pPr>
    <w:rPr>
      <w:sz w:val="18"/>
      <w:szCs w:val="18"/>
    </w:rPr>
  </w:style>
  <w:style w:type="paragraph" w:styleId="929" w:customStyle="1">
    <w:name w:val="普通正文"/>
    <w:basedOn w:val="911"/>
    <w:uiPriority w:val="0"/>
    <w:qFormat/>
    <w:pPr>
      <w:ind w:firstLine="480"/>
      <w:jc w:val="left"/>
      <w:spacing w:before="120" w:after="120" w:line="360" w:lineRule="auto"/>
    </w:pPr>
    <w:rPr>
      <w:rFonts w:ascii="Arial" w:hAnsi="Arial" w:eastAsia="等线" w:cs="Arial"/>
      <w:sz w:val="24"/>
      <w:szCs w:val="24"/>
    </w:rPr>
  </w:style>
  <w:style w:type="paragraph" w:styleId="930" w:customStyle="1">
    <w:name w:val="正文首行缩进 21"/>
    <w:basedOn w:val="931"/>
    <w:uiPriority w:val="0"/>
    <w:qFormat/>
    <w:pPr>
      <w:ind w:firstLine="420"/>
    </w:pPr>
  </w:style>
  <w:style w:type="paragraph" w:styleId="931" w:customStyle="1">
    <w:name w:val="正文文本缩进1"/>
    <w:basedOn w:val="911"/>
    <w:uiPriority w:val="0"/>
    <w:qFormat/>
    <w:pPr>
      <w:ind w:left="420"/>
      <w:spacing w:after="120"/>
    </w:pPr>
  </w:style>
  <w:style w:type="character" w:styleId="932" w:customStyle="1">
    <w:name w:val="font61"/>
    <w:basedOn w:val="913"/>
    <w:uiPriority w:val="0"/>
    <w:qFormat/>
    <w:rPr>
      <w:rFonts w:hint="eastAsia" w:ascii="宋体" w:hAnsi="宋体" w:eastAsia="宋体" w:cs="宋体"/>
      <w:b/>
      <w:bCs/>
      <w:color w:val="000000"/>
      <w:sz w:val="20"/>
      <w:szCs w:val="20"/>
      <w:u w:val="none"/>
    </w:rPr>
  </w:style>
  <w:style w:type="character" w:styleId="933" w:customStyle="1">
    <w:name w:val="font11"/>
    <w:basedOn w:val="913"/>
    <w:uiPriority w:val="0"/>
    <w:qFormat/>
    <w:rPr>
      <w:rFonts w:hint="eastAsia" w:ascii="宋体" w:hAnsi="宋体" w:eastAsia="宋体" w:cs="宋体"/>
      <w:color w:val="000000"/>
      <w:sz w:val="20"/>
      <w:szCs w:val="20"/>
      <w:u w:val="none"/>
    </w:rPr>
  </w:style>
  <w:style w:type="character" w:styleId="934" w:customStyle="1">
    <w:name w:val="font71"/>
    <w:basedOn w:val="913"/>
    <w:uiPriority w:val="0"/>
    <w:qFormat/>
    <w:rPr>
      <w:rFonts w:hint="eastAsia" w:ascii="宋体" w:hAnsi="宋体" w:eastAsia="宋体" w:cs="宋体"/>
      <w:color w:val="ff0000"/>
      <w:sz w:val="20"/>
      <w:szCs w:val="20"/>
      <w:u w:val="none"/>
    </w:rPr>
  </w:style>
  <w:style w:type="character" w:styleId="935" w:customStyle="1">
    <w:name w:val="font101"/>
    <w:basedOn w:val="913"/>
    <w:uiPriority w:val="0"/>
    <w:qFormat/>
    <w:rPr>
      <w:rFonts w:hint="default" w:ascii="Times New Roman" w:hAnsi="Times New Roman" w:cs="Times New Roman"/>
      <w:color w:val="000000"/>
      <w:sz w:val="20"/>
      <w:szCs w:val="20"/>
      <w:u w:val="none"/>
    </w:rPr>
  </w:style>
  <w:style w:type="character" w:styleId="936" w:customStyle="1">
    <w:name w:val="font01"/>
    <w:basedOn w:val="913"/>
    <w:uiPriority w:val="0"/>
    <w:qFormat/>
    <w:rPr>
      <w:rFonts w:hint="eastAsia" w:ascii="宋体" w:hAnsi="宋体" w:eastAsia="宋体" w:cs="宋体"/>
      <w:color w:val="000000"/>
      <w:sz w:val="22"/>
      <w:szCs w:val="22"/>
      <w:u w:val="none"/>
    </w:rPr>
  </w:style>
  <w:style w:type="character" w:styleId="937" w:customStyle="1">
    <w:name w:val="font181"/>
    <w:basedOn w:val="913"/>
    <w:uiPriority w:val="0"/>
    <w:qFormat/>
    <w:rPr>
      <w:rFonts w:hint="eastAsia" w:ascii="宋体" w:hAnsi="宋体" w:eastAsia="宋体" w:cs="宋体"/>
      <w:color w:val="000000"/>
      <w:sz w:val="24"/>
      <w:szCs w:val="24"/>
      <w:u w:val="none"/>
    </w:rPr>
  </w:style>
  <w:style w:type="character" w:styleId="938" w:customStyle="1">
    <w:name w:val="font41"/>
    <w:basedOn w:val="913"/>
    <w:uiPriority w:val="0"/>
    <w:qFormat/>
    <w:rPr>
      <w:rFonts w:hint="eastAsia" w:ascii="宋体" w:hAnsi="宋体" w:eastAsia="宋体" w:cs="宋体"/>
      <w:b/>
      <w:bCs/>
      <w:color w:val="ff0000"/>
      <w:sz w:val="20"/>
      <w:szCs w:val="20"/>
      <w:u w:val="none"/>
    </w:rPr>
  </w:style>
  <w:style w:type="paragraph" w:styleId="939" w:customStyle="1">
    <w:name w:val="列出段落"/>
    <w:basedOn w:val="911"/>
    <w:uiPriority w:val="34"/>
    <w:qFormat/>
    <w:pPr>
      <w:contextualSpacing/>
      <w:ind w:left="720"/>
    </w:p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倪兆霞</cp:lastModifiedBy>
  <cp:revision>123</cp:revision>
  <dcterms:created xsi:type="dcterms:W3CDTF">2014-10-29T12:08:00Z</dcterms:created>
  <dcterms:modified xsi:type="dcterms:W3CDTF">2026-07-09T08:22:56Z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3871F45CA688497791CD87AD69101BD1</vt:lpwstr>
  </property>
  <property fmtid="{D5CDD505-2E9C-101B-9397-08002B2CF9AE}" pid="4" name="KSOTemplateDocerSaveRecord">
    <vt:lpwstr>eyJoZGlkIjoiZTM5NjQ4MDViNzI1OGY2YzE4MzhiZmY5ZTY1YTkxNGYiLCJ1c2VySWQiOiIxNjcxMTcxMDA3In0=</vt:lpwstr>
  </property>
</Properties>
</file>